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C92910">
      <w:pPr>
        <w:pStyle w:val="12"/>
        <w:spacing w:line="400" w:lineRule="exact"/>
        <w:ind w:firstLine="0" w:firstLineChars="0"/>
      </w:pPr>
    </w:p>
    <w:p w14:paraId="0DDFC060">
      <w:pPr>
        <w:pStyle w:val="57"/>
        <w:spacing w:line="400" w:lineRule="exact"/>
        <w:textAlignment w:val="baseline"/>
        <w:rPr>
          <w:rFonts w:hint="eastAsia" w:eastAsia="黑体"/>
          <w:b/>
          <w:spacing w:val="34"/>
          <w:sz w:val="28"/>
          <w:szCs w:val="28"/>
        </w:rPr>
      </w:pPr>
    </w:p>
    <w:p w14:paraId="7476AF4E">
      <w:pPr>
        <w:pStyle w:val="57"/>
        <w:spacing w:line="400" w:lineRule="exact"/>
        <w:textAlignment w:val="baseline"/>
        <w:rPr>
          <w:rFonts w:hint="eastAsia" w:eastAsia="黑体"/>
          <w:b/>
          <w:spacing w:val="34"/>
          <w:sz w:val="28"/>
          <w:szCs w:val="28"/>
        </w:rPr>
      </w:pPr>
    </w:p>
    <w:p w14:paraId="0B9B1DC3">
      <w:pPr>
        <w:pStyle w:val="57"/>
        <w:spacing w:line="400" w:lineRule="exact"/>
        <w:textAlignment w:val="baseline"/>
        <w:rPr>
          <w:rFonts w:hint="eastAsia" w:eastAsia="黑体"/>
          <w:b/>
          <w:spacing w:val="34"/>
          <w:sz w:val="28"/>
          <w:szCs w:val="28"/>
        </w:rPr>
      </w:pPr>
    </w:p>
    <w:p w14:paraId="70D58572">
      <w:pPr>
        <w:spacing w:line="240" w:lineRule="auto"/>
        <w:ind w:firstLine="0" w:firstLineChars="0"/>
        <w:rPr>
          <w:rStyle w:val="24"/>
          <w:rFonts w:eastAsia="方正小标宋简体"/>
          <w:b w:val="0"/>
          <w:bCs w:val="0"/>
          <w:sz w:val="44"/>
          <w:szCs w:val="44"/>
        </w:rPr>
      </w:pPr>
    </w:p>
    <w:p w14:paraId="6AA20296">
      <w:pPr>
        <w:spacing w:line="588" w:lineRule="exact"/>
        <w:ind w:firstLine="0" w:firstLineChars="0"/>
        <w:jc w:val="center"/>
        <w:rPr>
          <w:rStyle w:val="24"/>
          <w:rFonts w:eastAsia="方正小标宋简体"/>
          <w:b w:val="0"/>
          <w:bCs w:val="0"/>
          <w:sz w:val="44"/>
          <w:szCs w:val="44"/>
        </w:rPr>
      </w:pPr>
      <w:r>
        <w:rPr>
          <w:rStyle w:val="24"/>
          <w:rFonts w:hint="eastAsia" w:eastAsia="方正小标宋简体"/>
          <w:b w:val="0"/>
          <w:bCs w:val="0"/>
          <w:sz w:val="44"/>
          <w:szCs w:val="44"/>
        </w:rPr>
        <w:t>天津市宝坻区国民经济和社会发展</w:t>
      </w:r>
    </w:p>
    <w:p w14:paraId="35E2CBC7">
      <w:pPr>
        <w:spacing w:line="588" w:lineRule="exact"/>
        <w:ind w:firstLine="0" w:firstLineChars="0"/>
        <w:jc w:val="center"/>
        <w:rPr>
          <w:rStyle w:val="24"/>
          <w:rFonts w:eastAsia="方正小标宋简体"/>
          <w:b w:val="0"/>
          <w:bCs w:val="0"/>
          <w:sz w:val="44"/>
          <w:szCs w:val="44"/>
        </w:rPr>
      </w:pPr>
      <w:r>
        <w:rPr>
          <w:rStyle w:val="24"/>
          <w:rFonts w:hint="eastAsia" w:eastAsia="方正小标宋简体"/>
          <w:b w:val="0"/>
          <w:bCs w:val="0"/>
          <w:sz w:val="44"/>
          <w:szCs w:val="44"/>
        </w:rPr>
        <w:t>第十五个五年规划纲要</w:t>
      </w:r>
    </w:p>
    <w:p w14:paraId="0963B522">
      <w:pPr>
        <w:spacing w:line="588" w:lineRule="exact"/>
        <w:ind w:firstLine="0" w:firstLineChars="0"/>
        <w:jc w:val="center"/>
        <w:rPr>
          <w:rStyle w:val="24"/>
          <w:rFonts w:eastAsia="楷体"/>
          <w:b w:val="0"/>
          <w:bCs w:val="0"/>
          <w:sz w:val="36"/>
          <w:szCs w:val="44"/>
        </w:rPr>
      </w:pPr>
    </w:p>
    <w:p w14:paraId="7403B759">
      <w:pPr>
        <w:spacing w:line="240" w:lineRule="auto"/>
        <w:ind w:firstLine="0" w:firstLineChars="0"/>
        <w:jc w:val="center"/>
        <w:rPr>
          <w:rStyle w:val="24"/>
          <w:rFonts w:eastAsia="方正小标宋简体"/>
          <w:b w:val="0"/>
          <w:bCs w:val="0"/>
          <w:sz w:val="44"/>
          <w:szCs w:val="44"/>
        </w:rPr>
      </w:pPr>
    </w:p>
    <w:p w14:paraId="65490518">
      <w:pPr>
        <w:spacing w:line="240" w:lineRule="auto"/>
        <w:ind w:firstLine="0" w:firstLineChars="0"/>
        <w:jc w:val="center"/>
        <w:rPr>
          <w:rStyle w:val="24"/>
          <w:rFonts w:eastAsia="方正小标宋简体"/>
          <w:b w:val="0"/>
          <w:bCs w:val="0"/>
          <w:sz w:val="44"/>
          <w:szCs w:val="44"/>
        </w:rPr>
      </w:pPr>
    </w:p>
    <w:p w14:paraId="7AEAE3BE">
      <w:pPr>
        <w:spacing w:line="240" w:lineRule="auto"/>
        <w:ind w:firstLine="0" w:firstLineChars="0"/>
        <w:jc w:val="center"/>
        <w:rPr>
          <w:rStyle w:val="24"/>
          <w:rFonts w:eastAsia="方正小标宋简体"/>
          <w:b w:val="0"/>
          <w:bCs w:val="0"/>
          <w:sz w:val="44"/>
          <w:szCs w:val="44"/>
        </w:rPr>
      </w:pPr>
    </w:p>
    <w:p w14:paraId="0C608DB7">
      <w:pPr>
        <w:widowControl/>
        <w:spacing w:line="240" w:lineRule="auto"/>
        <w:ind w:firstLine="0" w:firstLineChars="0"/>
        <w:jc w:val="left"/>
        <w:rPr>
          <w:rStyle w:val="24"/>
          <w:rFonts w:ascii="仿宋_GB2312"/>
          <w:b w:val="0"/>
          <w:bCs w:val="0"/>
        </w:rPr>
      </w:pPr>
      <w:r>
        <w:rPr>
          <w:rStyle w:val="24"/>
          <w:rFonts w:hint="eastAsia" w:ascii="仿宋_GB2312"/>
          <w:b w:val="0"/>
          <w:bCs w:val="0"/>
        </w:rPr>
        <w:br w:type="page"/>
      </w:r>
    </w:p>
    <w:p w14:paraId="7981DBF8">
      <w:pPr>
        <w:pStyle w:val="20"/>
        <w:ind w:firstLine="640"/>
        <w:jc w:val="both"/>
        <w:rPr>
          <w:rStyle w:val="24"/>
          <w:rFonts w:ascii="宋体" w:hAnsi="宋体" w:eastAsia="仿宋"/>
          <w:b w:val="0"/>
          <w:bCs w:val="0"/>
          <w:sz w:val="32"/>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851" w:footer="992" w:gutter="0"/>
          <w:cols w:space="425" w:num="1"/>
          <w:docGrid w:type="lines" w:linePitch="312" w:charSpace="0"/>
        </w:sectPr>
      </w:pPr>
    </w:p>
    <w:sdt>
      <w:sdtPr>
        <w:rPr>
          <w:rFonts w:ascii="宋体" w:hAnsi="宋体" w:eastAsia="仿宋_GB2312" w:cstheme="minorBidi"/>
          <w:b/>
          <w:bCs/>
          <w:color w:val="auto"/>
          <w:kern w:val="2"/>
          <w:szCs w:val="22"/>
          <w:lang w:val="zh-CN"/>
        </w:rPr>
        <w:id w:val="348763602"/>
        <w:docPartObj>
          <w:docPartGallery w:val="Table of Contents"/>
          <w:docPartUnique/>
        </w:docPartObj>
      </w:sdtPr>
      <w:sdtEndPr>
        <w:rPr>
          <w:rFonts w:ascii="宋体" w:hAnsi="宋体" w:eastAsia="楷体" w:cstheme="minorBidi"/>
          <w:b/>
          <w:bCs/>
          <w:color w:val="auto"/>
          <w:kern w:val="2"/>
          <w:sz w:val="28"/>
          <w:szCs w:val="28"/>
          <w:lang w:val="zh-CN"/>
        </w:rPr>
      </w:sdtEndPr>
      <w:sdtContent>
        <w:p w14:paraId="72363048">
          <w:pPr>
            <w:pStyle w:val="51"/>
            <w:jc w:val="center"/>
            <w:rPr>
              <w:rFonts w:ascii="宋体" w:hAnsi="宋体" w:eastAsia="黑体"/>
              <w:color w:val="auto"/>
              <w:sz w:val="44"/>
              <w:szCs w:val="44"/>
            </w:rPr>
          </w:pPr>
          <w:r>
            <w:rPr>
              <w:rFonts w:ascii="宋体" w:hAnsi="宋体" w:eastAsia="黑体"/>
              <w:color w:val="auto"/>
              <w:sz w:val="44"/>
              <w:szCs w:val="44"/>
              <w:lang w:val="zh-CN"/>
            </w:rPr>
            <w:t>目</w:t>
          </w:r>
          <w:r>
            <w:rPr>
              <w:rFonts w:hint="eastAsia" w:ascii="宋体" w:hAnsi="宋体" w:eastAsia="黑体"/>
              <w:color w:val="auto"/>
              <w:sz w:val="44"/>
              <w:szCs w:val="44"/>
              <w:lang w:val="zh-CN"/>
            </w:rPr>
            <w:t xml:space="preserve"> </w:t>
          </w:r>
          <w:r>
            <w:rPr>
              <w:rFonts w:ascii="宋体" w:hAnsi="宋体" w:eastAsia="黑体"/>
              <w:color w:val="auto"/>
              <w:sz w:val="44"/>
              <w:szCs w:val="44"/>
              <w:lang w:val="zh-CN"/>
            </w:rPr>
            <w:t xml:space="preserve"> 录</w:t>
          </w:r>
        </w:p>
        <w:p w14:paraId="41850763">
          <w:pPr>
            <w:pStyle w:val="17"/>
            <w:rPr>
              <w:rFonts w:eastAsiaTheme="minorEastAsia"/>
              <w:sz w:val="21"/>
              <w:szCs w:val="22"/>
            </w:rPr>
          </w:pPr>
          <w:r>
            <w:rPr>
              <w:rFonts w:eastAsia="楷体"/>
            </w:rPr>
            <w:fldChar w:fldCharType="begin"/>
          </w:r>
          <w:r>
            <w:rPr>
              <w:rFonts w:eastAsia="楷体"/>
            </w:rPr>
            <w:instrText xml:space="preserve"> TOC \o "1-3" \h \z \u </w:instrText>
          </w:r>
          <w:r>
            <w:rPr>
              <w:rFonts w:eastAsia="楷体"/>
            </w:rPr>
            <w:fldChar w:fldCharType="separate"/>
          </w:r>
          <w:r>
            <w:fldChar w:fldCharType="begin"/>
          </w:r>
          <w:r>
            <w:instrText xml:space="preserve"> HYPERLINK \l "_Toc219068696" </w:instrText>
          </w:r>
          <w:r>
            <w:fldChar w:fldCharType="separate"/>
          </w:r>
          <w:r>
            <w:rPr>
              <w:rStyle w:val="25"/>
            </w:rPr>
            <w:t>第一篇  奋力开启新征程，全面建设社会主义现代化新宝坻</w:t>
          </w:r>
          <w:r>
            <w:tab/>
          </w:r>
          <w:r>
            <w:fldChar w:fldCharType="begin"/>
          </w:r>
          <w:r>
            <w:instrText xml:space="preserve"> PAGEREF _Toc219068696 \h </w:instrText>
          </w:r>
          <w:r>
            <w:fldChar w:fldCharType="separate"/>
          </w:r>
          <w:r>
            <w:t>1</w:t>
          </w:r>
          <w:r>
            <w:fldChar w:fldCharType="end"/>
          </w:r>
          <w:r>
            <w:fldChar w:fldCharType="end"/>
          </w:r>
        </w:p>
        <w:p w14:paraId="08FA37A1">
          <w:pPr>
            <w:pStyle w:val="19"/>
            <w:rPr>
              <w:rFonts w:ascii="宋体" w:hAnsi="宋体" w:eastAsiaTheme="minorEastAsia"/>
              <w:sz w:val="21"/>
              <w:szCs w:val="22"/>
            </w:rPr>
          </w:pPr>
          <w:r>
            <w:fldChar w:fldCharType="begin"/>
          </w:r>
          <w:r>
            <w:instrText xml:space="preserve"> HYPERLINK \l "_Toc219068697" </w:instrText>
          </w:r>
          <w:r>
            <w:fldChar w:fldCharType="separate"/>
          </w:r>
          <w:r>
            <w:rPr>
              <w:rStyle w:val="25"/>
              <w:rFonts w:ascii="宋体" w:hAnsi="宋体"/>
            </w:rPr>
            <w:t>第一章 “十四五”时期取得的显著成效和“十五五”时期面临的机遇挑战</w:t>
          </w:r>
          <w:r>
            <w:rPr>
              <w:rFonts w:ascii="宋体" w:hAnsi="宋体"/>
            </w:rPr>
            <w:tab/>
          </w:r>
          <w:r>
            <w:rPr>
              <w:rFonts w:ascii="宋体" w:hAnsi="宋体"/>
            </w:rPr>
            <w:fldChar w:fldCharType="begin"/>
          </w:r>
          <w:r>
            <w:rPr>
              <w:rFonts w:ascii="宋体" w:hAnsi="宋体"/>
            </w:rPr>
            <w:instrText xml:space="preserve"> PAGEREF _Toc219068697 \h </w:instrText>
          </w:r>
          <w:r>
            <w:rPr>
              <w:rFonts w:ascii="宋体" w:hAnsi="宋体"/>
            </w:rPr>
            <w:fldChar w:fldCharType="separate"/>
          </w:r>
          <w:r>
            <w:rPr>
              <w:rFonts w:ascii="宋体" w:hAnsi="宋体"/>
            </w:rPr>
            <w:t>1</w:t>
          </w:r>
          <w:r>
            <w:rPr>
              <w:rFonts w:ascii="宋体" w:hAnsi="宋体"/>
            </w:rPr>
            <w:fldChar w:fldCharType="end"/>
          </w:r>
          <w:r>
            <w:rPr>
              <w:rFonts w:ascii="宋体" w:hAnsi="宋体"/>
            </w:rPr>
            <w:fldChar w:fldCharType="end"/>
          </w:r>
        </w:p>
        <w:p w14:paraId="51CAEA82">
          <w:pPr>
            <w:pStyle w:val="13"/>
            <w:rPr>
              <w:rFonts w:eastAsiaTheme="minorEastAsia"/>
              <w:sz w:val="21"/>
            </w:rPr>
          </w:pPr>
          <w:r>
            <w:fldChar w:fldCharType="begin"/>
          </w:r>
          <w:r>
            <w:instrText xml:space="preserve"> HYPERLINK \l "_Toc219068698" </w:instrText>
          </w:r>
          <w:r>
            <w:fldChar w:fldCharType="separate"/>
          </w:r>
          <w:r>
            <w:rPr>
              <w:rStyle w:val="25"/>
            </w:rPr>
            <w:t>第一节 “十四五”时期宝坻经济社会发展取得显著成效</w:t>
          </w:r>
          <w:r>
            <w:tab/>
          </w:r>
          <w:r>
            <w:fldChar w:fldCharType="begin"/>
          </w:r>
          <w:r>
            <w:instrText xml:space="preserve"> PAGEREF _Toc219068698 \h </w:instrText>
          </w:r>
          <w:r>
            <w:fldChar w:fldCharType="separate"/>
          </w:r>
          <w:r>
            <w:t>1</w:t>
          </w:r>
          <w:r>
            <w:fldChar w:fldCharType="end"/>
          </w:r>
          <w:r>
            <w:fldChar w:fldCharType="end"/>
          </w:r>
        </w:p>
        <w:p w14:paraId="0EB05603">
          <w:pPr>
            <w:pStyle w:val="13"/>
            <w:rPr>
              <w:rFonts w:eastAsiaTheme="minorEastAsia"/>
              <w:sz w:val="21"/>
            </w:rPr>
          </w:pPr>
          <w:r>
            <w:fldChar w:fldCharType="begin"/>
          </w:r>
          <w:r>
            <w:instrText xml:space="preserve"> HYPERLINK \l "_Toc219068699" </w:instrText>
          </w:r>
          <w:r>
            <w:fldChar w:fldCharType="separate"/>
          </w:r>
          <w:r>
            <w:rPr>
              <w:rStyle w:val="25"/>
            </w:rPr>
            <w:t>第二节 “十五五”时期宝坻面临的机遇和挑战</w:t>
          </w:r>
          <w:r>
            <w:tab/>
          </w:r>
          <w:r>
            <w:fldChar w:fldCharType="begin"/>
          </w:r>
          <w:r>
            <w:instrText xml:space="preserve"> PAGEREF _Toc219068699 \h </w:instrText>
          </w:r>
          <w:r>
            <w:fldChar w:fldCharType="separate"/>
          </w:r>
          <w:r>
            <w:t>4</w:t>
          </w:r>
          <w:r>
            <w:fldChar w:fldCharType="end"/>
          </w:r>
          <w:r>
            <w:fldChar w:fldCharType="end"/>
          </w:r>
        </w:p>
        <w:p w14:paraId="1B54BE94">
          <w:pPr>
            <w:pStyle w:val="19"/>
            <w:rPr>
              <w:rFonts w:ascii="宋体" w:hAnsi="宋体" w:eastAsiaTheme="minorEastAsia"/>
              <w:sz w:val="21"/>
              <w:szCs w:val="22"/>
            </w:rPr>
          </w:pPr>
          <w:r>
            <w:fldChar w:fldCharType="begin"/>
          </w:r>
          <w:r>
            <w:instrText xml:space="preserve"> HYPERLINK \l "_Toc219068700" </w:instrText>
          </w:r>
          <w:r>
            <w:fldChar w:fldCharType="separate"/>
          </w:r>
          <w:r>
            <w:rPr>
              <w:rStyle w:val="25"/>
              <w:rFonts w:ascii="宋体" w:hAnsi="宋体"/>
            </w:rPr>
            <w:t>第二章 “十五五”时期宝坻经济社会发展的总体要求和主要目标</w:t>
          </w:r>
          <w:r>
            <w:rPr>
              <w:rFonts w:ascii="宋体" w:hAnsi="宋体"/>
            </w:rPr>
            <w:tab/>
          </w:r>
          <w:r>
            <w:rPr>
              <w:rFonts w:ascii="宋体" w:hAnsi="宋体"/>
            </w:rPr>
            <w:fldChar w:fldCharType="begin"/>
          </w:r>
          <w:r>
            <w:rPr>
              <w:rFonts w:ascii="宋体" w:hAnsi="宋体"/>
            </w:rPr>
            <w:instrText xml:space="preserve"> PAGEREF _Toc219068700 \h </w:instrText>
          </w:r>
          <w:r>
            <w:rPr>
              <w:rFonts w:ascii="宋体" w:hAnsi="宋体"/>
            </w:rPr>
            <w:fldChar w:fldCharType="separate"/>
          </w:r>
          <w:r>
            <w:rPr>
              <w:rFonts w:ascii="宋体" w:hAnsi="宋体"/>
            </w:rPr>
            <w:t>8</w:t>
          </w:r>
          <w:r>
            <w:rPr>
              <w:rFonts w:ascii="宋体" w:hAnsi="宋体"/>
            </w:rPr>
            <w:fldChar w:fldCharType="end"/>
          </w:r>
          <w:r>
            <w:rPr>
              <w:rFonts w:ascii="宋体" w:hAnsi="宋体"/>
            </w:rPr>
            <w:fldChar w:fldCharType="end"/>
          </w:r>
        </w:p>
        <w:p w14:paraId="1C63D46D">
          <w:pPr>
            <w:pStyle w:val="13"/>
            <w:rPr>
              <w:rFonts w:eastAsiaTheme="minorEastAsia"/>
              <w:sz w:val="21"/>
            </w:rPr>
          </w:pPr>
          <w:r>
            <w:fldChar w:fldCharType="begin"/>
          </w:r>
          <w:r>
            <w:instrText xml:space="preserve"> HYPERLINK \l "_Toc219068701" </w:instrText>
          </w:r>
          <w:r>
            <w:fldChar w:fldCharType="separate"/>
          </w:r>
          <w:r>
            <w:rPr>
              <w:rStyle w:val="25"/>
            </w:rPr>
            <w:t>第一节 指导思想</w:t>
          </w:r>
          <w:r>
            <w:tab/>
          </w:r>
          <w:r>
            <w:fldChar w:fldCharType="begin"/>
          </w:r>
          <w:r>
            <w:instrText xml:space="preserve"> PAGEREF _Toc219068701 \h </w:instrText>
          </w:r>
          <w:r>
            <w:fldChar w:fldCharType="separate"/>
          </w:r>
          <w:r>
            <w:t>8</w:t>
          </w:r>
          <w:r>
            <w:fldChar w:fldCharType="end"/>
          </w:r>
          <w:r>
            <w:fldChar w:fldCharType="end"/>
          </w:r>
        </w:p>
        <w:p w14:paraId="4453A54D">
          <w:pPr>
            <w:pStyle w:val="13"/>
            <w:rPr>
              <w:rFonts w:eastAsiaTheme="minorEastAsia"/>
              <w:sz w:val="21"/>
            </w:rPr>
          </w:pPr>
          <w:r>
            <w:fldChar w:fldCharType="begin"/>
          </w:r>
          <w:r>
            <w:instrText xml:space="preserve"> HYPERLINK \l "_Toc219068702" </w:instrText>
          </w:r>
          <w:r>
            <w:fldChar w:fldCharType="separate"/>
          </w:r>
          <w:r>
            <w:rPr>
              <w:rStyle w:val="25"/>
            </w:rPr>
            <w:t>第二节 必须遵循的原则</w:t>
          </w:r>
          <w:r>
            <w:tab/>
          </w:r>
          <w:r>
            <w:fldChar w:fldCharType="begin"/>
          </w:r>
          <w:r>
            <w:instrText xml:space="preserve"> PAGEREF _Toc219068702 \h </w:instrText>
          </w:r>
          <w:r>
            <w:fldChar w:fldCharType="separate"/>
          </w:r>
          <w:r>
            <w:t>9</w:t>
          </w:r>
          <w:r>
            <w:fldChar w:fldCharType="end"/>
          </w:r>
          <w:r>
            <w:fldChar w:fldCharType="end"/>
          </w:r>
        </w:p>
        <w:p w14:paraId="400C6373">
          <w:pPr>
            <w:pStyle w:val="13"/>
            <w:rPr>
              <w:rFonts w:eastAsiaTheme="minorEastAsia"/>
              <w:sz w:val="21"/>
            </w:rPr>
          </w:pPr>
          <w:r>
            <w:fldChar w:fldCharType="begin"/>
          </w:r>
          <w:r>
            <w:instrText xml:space="preserve"> HYPERLINK \l "_Toc219068703" </w:instrText>
          </w:r>
          <w:r>
            <w:fldChar w:fldCharType="separate"/>
          </w:r>
          <w:r>
            <w:rPr>
              <w:rStyle w:val="25"/>
            </w:rPr>
            <w:t>第三节 主要目标</w:t>
          </w:r>
          <w:r>
            <w:tab/>
          </w:r>
          <w:r>
            <w:fldChar w:fldCharType="begin"/>
          </w:r>
          <w:r>
            <w:instrText xml:space="preserve"> PAGEREF _Toc219068703 \h </w:instrText>
          </w:r>
          <w:r>
            <w:fldChar w:fldCharType="separate"/>
          </w:r>
          <w:r>
            <w:t>10</w:t>
          </w:r>
          <w:r>
            <w:fldChar w:fldCharType="end"/>
          </w:r>
          <w:r>
            <w:fldChar w:fldCharType="end"/>
          </w:r>
        </w:p>
        <w:p w14:paraId="7592A550">
          <w:pPr>
            <w:pStyle w:val="17"/>
            <w:rPr>
              <w:rFonts w:eastAsiaTheme="minorEastAsia"/>
              <w:sz w:val="21"/>
              <w:szCs w:val="22"/>
            </w:rPr>
          </w:pPr>
          <w:r>
            <w:fldChar w:fldCharType="begin"/>
          </w:r>
          <w:r>
            <w:instrText xml:space="preserve"> HYPERLINK \l "_Toc219068704" </w:instrText>
          </w:r>
          <w:r>
            <w:fldChar w:fldCharType="separate"/>
          </w:r>
          <w:r>
            <w:rPr>
              <w:rStyle w:val="25"/>
            </w:rPr>
            <w:t>第二篇  以推进京津冀协同发展为战略牵引，加快改革开放步伐，全力扩投资促消费，打造企业和人才投资兴业、合作共赢、成就梦想的“开放宝地”</w:t>
          </w:r>
          <w:r>
            <w:tab/>
          </w:r>
          <w:r>
            <w:fldChar w:fldCharType="begin"/>
          </w:r>
          <w:r>
            <w:instrText xml:space="preserve"> PAGEREF _Toc219068704 \h </w:instrText>
          </w:r>
          <w:r>
            <w:fldChar w:fldCharType="separate"/>
          </w:r>
          <w:r>
            <w:t>15</w:t>
          </w:r>
          <w:r>
            <w:fldChar w:fldCharType="end"/>
          </w:r>
          <w:r>
            <w:fldChar w:fldCharType="end"/>
          </w:r>
        </w:p>
        <w:p w14:paraId="48AD2A11">
          <w:pPr>
            <w:pStyle w:val="19"/>
            <w:rPr>
              <w:rFonts w:ascii="宋体" w:hAnsi="宋体" w:eastAsiaTheme="minorEastAsia"/>
              <w:sz w:val="21"/>
              <w:szCs w:val="22"/>
            </w:rPr>
          </w:pPr>
          <w:r>
            <w:fldChar w:fldCharType="begin"/>
          </w:r>
          <w:r>
            <w:instrText xml:space="preserve"> HYPERLINK \l "_Toc219068705" </w:instrText>
          </w:r>
          <w:r>
            <w:fldChar w:fldCharType="separate"/>
          </w:r>
          <w:r>
            <w:rPr>
              <w:rStyle w:val="25"/>
              <w:rFonts w:ascii="宋体" w:hAnsi="宋体"/>
            </w:rPr>
            <w:t>第三章  强化区域协同开放，推动京津冀协同发展不断迈上新台阶</w:t>
          </w:r>
          <w:r>
            <w:rPr>
              <w:rFonts w:ascii="宋体" w:hAnsi="宋体"/>
            </w:rPr>
            <w:tab/>
          </w:r>
          <w:r>
            <w:rPr>
              <w:rFonts w:ascii="宋体" w:hAnsi="宋体"/>
            </w:rPr>
            <w:fldChar w:fldCharType="begin"/>
          </w:r>
          <w:r>
            <w:rPr>
              <w:rFonts w:ascii="宋体" w:hAnsi="宋体"/>
            </w:rPr>
            <w:instrText xml:space="preserve"> PAGEREF _Toc219068705 \h </w:instrText>
          </w:r>
          <w:r>
            <w:rPr>
              <w:rFonts w:ascii="宋体" w:hAnsi="宋体"/>
            </w:rPr>
            <w:fldChar w:fldCharType="separate"/>
          </w:r>
          <w:r>
            <w:rPr>
              <w:rFonts w:ascii="宋体" w:hAnsi="宋体"/>
            </w:rPr>
            <w:t>15</w:t>
          </w:r>
          <w:r>
            <w:rPr>
              <w:rFonts w:ascii="宋体" w:hAnsi="宋体"/>
            </w:rPr>
            <w:fldChar w:fldCharType="end"/>
          </w:r>
          <w:r>
            <w:rPr>
              <w:rFonts w:ascii="宋体" w:hAnsi="宋体"/>
            </w:rPr>
            <w:fldChar w:fldCharType="end"/>
          </w:r>
        </w:p>
        <w:p w14:paraId="5826AA52">
          <w:pPr>
            <w:pStyle w:val="13"/>
            <w:rPr>
              <w:rFonts w:eastAsiaTheme="minorEastAsia"/>
              <w:sz w:val="21"/>
            </w:rPr>
          </w:pPr>
          <w:r>
            <w:fldChar w:fldCharType="begin"/>
          </w:r>
          <w:r>
            <w:instrText xml:space="preserve"> HYPERLINK \l "_Toc219068706" </w:instrText>
          </w:r>
          <w:r>
            <w:fldChar w:fldCharType="separate"/>
          </w:r>
          <w:r>
            <w:rPr>
              <w:rStyle w:val="25"/>
            </w:rPr>
            <w:t>第一节 发挥京津中关村科技城引领发展龙头作用</w:t>
          </w:r>
          <w:r>
            <w:tab/>
          </w:r>
          <w:r>
            <w:fldChar w:fldCharType="begin"/>
          </w:r>
          <w:r>
            <w:instrText xml:space="preserve"> PAGEREF _Toc219068706 \h </w:instrText>
          </w:r>
          <w:r>
            <w:fldChar w:fldCharType="separate"/>
          </w:r>
          <w:r>
            <w:t>15</w:t>
          </w:r>
          <w:r>
            <w:fldChar w:fldCharType="end"/>
          </w:r>
          <w:r>
            <w:fldChar w:fldCharType="end"/>
          </w:r>
        </w:p>
        <w:p w14:paraId="596F562D">
          <w:pPr>
            <w:pStyle w:val="13"/>
            <w:rPr>
              <w:rFonts w:eastAsiaTheme="minorEastAsia"/>
              <w:sz w:val="21"/>
            </w:rPr>
          </w:pPr>
          <w:r>
            <w:fldChar w:fldCharType="begin"/>
          </w:r>
          <w:r>
            <w:instrText xml:space="preserve"> HYPERLINK \l "_Toc219068707" </w:instrText>
          </w:r>
          <w:r>
            <w:fldChar w:fldCharType="separate"/>
          </w:r>
          <w:r>
            <w:rPr>
              <w:rStyle w:val="25"/>
            </w:rPr>
            <w:t>第二节 深化京津冀科技创新协同和产业体系融合</w:t>
          </w:r>
          <w:r>
            <w:tab/>
          </w:r>
          <w:r>
            <w:fldChar w:fldCharType="begin"/>
          </w:r>
          <w:r>
            <w:instrText xml:space="preserve"> PAGEREF _Toc219068707 \h </w:instrText>
          </w:r>
          <w:r>
            <w:fldChar w:fldCharType="separate"/>
          </w:r>
          <w:r>
            <w:t>20</w:t>
          </w:r>
          <w:r>
            <w:fldChar w:fldCharType="end"/>
          </w:r>
          <w:r>
            <w:fldChar w:fldCharType="end"/>
          </w:r>
        </w:p>
        <w:p w14:paraId="58373A59">
          <w:pPr>
            <w:pStyle w:val="13"/>
            <w:rPr>
              <w:rFonts w:eastAsiaTheme="minorEastAsia"/>
              <w:sz w:val="21"/>
            </w:rPr>
          </w:pPr>
          <w:r>
            <w:fldChar w:fldCharType="begin"/>
          </w:r>
          <w:r>
            <w:instrText xml:space="preserve"> HYPERLINK \l "_Toc219068708" </w:instrText>
          </w:r>
          <w:r>
            <w:fldChar w:fldCharType="separate"/>
          </w:r>
          <w:r>
            <w:rPr>
              <w:rStyle w:val="25"/>
            </w:rPr>
            <w:t>第三节 纵深推进“京东黄金走廊”多领域协同合作</w:t>
          </w:r>
          <w:r>
            <w:tab/>
          </w:r>
          <w:r>
            <w:fldChar w:fldCharType="begin"/>
          </w:r>
          <w:r>
            <w:instrText xml:space="preserve"> PAGEREF _Toc219068708 \h </w:instrText>
          </w:r>
          <w:r>
            <w:fldChar w:fldCharType="separate"/>
          </w:r>
          <w:r>
            <w:t>21</w:t>
          </w:r>
          <w:r>
            <w:fldChar w:fldCharType="end"/>
          </w:r>
          <w:r>
            <w:fldChar w:fldCharType="end"/>
          </w:r>
        </w:p>
        <w:p w14:paraId="0B531130">
          <w:pPr>
            <w:pStyle w:val="13"/>
            <w:rPr>
              <w:rFonts w:eastAsiaTheme="minorEastAsia"/>
              <w:sz w:val="21"/>
            </w:rPr>
          </w:pPr>
          <w:r>
            <w:fldChar w:fldCharType="begin"/>
          </w:r>
          <w:r>
            <w:instrText xml:space="preserve"> HYPERLINK \l "_Toc219068709" </w:instrText>
          </w:r>
          <w:r>
            <w:fldChar w:fldCharType="separate"/>
          </w:r>
          <w:r>
            <w:rPr>
              <w:rStyle w:val="25"/>
            </w:rPr>
            <w:t>第四节 构建京津冀地区互联互通的综合交通枢纽</w:t>
          </w:r>
          <w:r>
            <w:tab/>
          </w:r>
          <w:r>
            <w:fldChar w:fldCharType="begin"/>
          </w:r>
          <w:r>
            <w:instrText xml:space="preserve"> PAGEREF _Toc219068709 \h </w:instrText>
          </w:r>
          <w:r>
            <w:fldChar w:fldCharType="separate"/>
          </w:r>
          <w:r>
            <w:t>23</w:t>
          </w:r>
          <w:r>
            <w:fldChar w:fldCharType="end"/>
          </w:r>
          <w:r>
            <w:fldChar w:fldCharType="end"/>
          </w:r>
        </w:p>
        <w:p w14:paraId="7ECEE4E6">
          <w:pPr>
            <w:pStyle w:val="19"/>
            <w:rPr>
              <w:rFonts w:ascii="宋体" w:hAnsi="宋体" w:eastAsiaTheme="minorEastAsia"/>
              <w:sz w:val="21"/>
              <w:szCs w:val="22"/>
            </w:rPr>
          </w:pPr>
          <w:r>
            <w:fldChar w:fldCharType="begin"/>
          </w:r>
          <w:r>
            <w:instrText xml:space="preserve"> HYPERLINK \l "_Toc219068710" </w:instrText>
          </w:r>
          <w:r>
            <w:fldChar w:fldCharType="separate"/>
          </w:r>
          <w:r>
            <w:rPr>
              <w:rStyle w:val="25"/>
              <w:rFonts w:ascii="宋体" w:hAnsi="宋体"/>
            </w:rPr>
            <w:t>第四章  全面深化改革，持续激发经济发展活力</w:t>
          </w:r>
          <w:r>
            <w:rPr>
              <w:rFonts w:ascii="宋体" w:hAnsi="宋体"/>
            </w:rPr>
            <w:tab/>
          </w:r>
          <w:r>
            <w:rPr>
              <w:rFonts w:ascii="宋体" w:hAnsi="宋体"/>
            </w:rPr>
            <w:fldChar w:fldCharType="begin"/>
          </w:r>
          <w:r>
            <w:rPr>
              <w:rFonts w:ascii="宋体" w:hAnsi="宋体"/>
            </w:rPr>
            <w:instrText xml:space="preserve"> PAGEREF _Toc219068710 \h </w:instrText>
          </w:r>
          <w:r>
            <w:rPr>
              <w:rFonts w:ascii="宋体" w:hAnsi="宋体"/>
            </w:rPr>
            <w:fldChar w:fldCharType="separate"/>
          </w:r>
          <w:r>
            <w:rPr>
              <w:rFonts w:ascii="宋体" w:hAnsi="宋体"/>
            </w:rPr>
            <w:t>25</w:t>
          </w:r>
          <w:r>
            <w:rPr>
              <w:rFonts w:ascii="宋体" w:hAnsi="宋体"/>
            </w:rPr>
            <w:fldChar w:fldCharType="end"/>
          </w:r>
          <w:r>
            <w:rPr>
              <w:rFonts w:ascii="宋体" w:hAnsi="宋体"/>
            </w:rPr>
            <w:fldChar w:fldCharType="end"/>
          </w:r>
        </w:p>
        <w:p w14:paraId="706F0C58">
          <w:pPr>
            <w:pStyle w:val="13"/>
            <w:rPr>
              <w:rFonts w:eastAsiaTheme="minorEastAsia"/>
              <w:sz w:val="21"/>
            </w:rPr>
          </w:pPr>
          <w:r>
            <w:fldChar w:fldCharType="begin"/>
          </w:r>
          <w:r>
            <w:instrText xml:space="preserve"> HYPERLINK \l "_Toc219068711" </w:instrText>
          </w:r>
          <w:r>
            <w:fldChar w:fldCharType="separate"/>
          </w:r>
          <w:r>
            <w:rPr>
              <w:rStyle w:val="25"/>
            </w:rPr>
            <w:t>第一节 持续深化经济体制改革力度</w:t>
          </w:r>
          <w:r>
            <w:tab/>
          </w:r>
          <w:r>
            <w:fldChar w:fldCharType="begin"/>
          </w:r>
          <w:r>
            <w:instrText xml:space="preserve"> PAGEREF _Toc219068711 \h </w:instrText>
          </w:r>
          <w:r>
            <w:fldChar w:fldCharType="separate"/>
          </w:r>
          <w:r>
            <w:t>25</w:t>
          </w:r>
          <w:r>
            <w:fldChar w:fldCharType="end"/>
          </w:r>
          <w:r>
            <w:fldChar w:fldCharType="end"/>
          </w:r>
        </w:p>
        <w:p w14:paraId="0D150107">
          <w:pPr>
            <w:pStyle w:val="13"/>
            <w:rPr>
              <w:rFonts w:eastAsiaTheme="minorEastAsia"/>
              <w:sz w:val="21"/>
            </w:rPr>
          </w:pPr>
          <w:r>
            <w:fldChar w:fldCharType="begin"/>
          </w:r>
          <w:r>
            <w:instrText xml:space="preserve"> HYPERLINK \l "_Toc219068712" </w:instrText>
          </w:r>
          <w:r>
            <w:fldChar w:fldCharType="separate"/>
          </w:r>
          <w:r>
            <w:rPr>
              <w:rStyle w:val="25"/>
            </w:rPr>
            <w:t>第二节 大力提升重点领域改革能效</w:t>
          </w:r>
          <w:r>
            <w:tab/>
          </w:r>
          <w:r>
            <w:fldChar w:fldCharType="begin"/>
          </w:r>
          <w:r>
            <w:instrText xml:space="preserve"> PAGEREF _Toc219068712 \h </w:instrText>
          </w:r>
          <w:r>
            <w:fldChar w:fldCharType="separate"/>
          </w:r>
          <w:r>
            <w:t>26</w:t>
          </w:r>
          <w:r>
            <w:fldChar w:fldCharType="end"/>
          </w:r>
          <w:r>
            <w:fldChar w:fldCharType="end"/>
          </w:r>
        </w:p>
        <w:p w14:paraId="13AC531E">
          <w:pPr>
            <w:pStyle w:val="13"/>
            <w:rPr>
              <w:rFonts w:eastAsiaTheme="minorEastAsia"/>
              <w:sz w:val="21"/>
            </w:rPr>
          </w:pPr>
          <w:r>
            <w:fldChar w:fldCharType="begin"/>
          </w:r>
          <w:r>
            <w:instrText xml:space="preserve"> HYPERLINK \l "_Toc219068713" </w:instrText>
          </w:r>
          <w:r>
            <w:fldChar w:fldCharType="separate"/>
          </w:r>
          <w:r>
            <w:rPr>
              <w:rStyle w:val="25"/>
            </w:rPr>
            <w:t>第三节 全面推动营商环境改革优化</w:t>
          </w:r>
          <w:r>
            <w:tab/>
          </w:r>
          <w:r>
            <w:fldChar w:fldCharType="begin"/>
          </w:r>
          <w:r>
            <w:instrText xml:space="preserve"> PAGEREF _Toc219068713 \h </w:instrText>
          </w:r>
          <w:r>
            <w:fldChar w:fldCharType="separate"/>
          </w:r>
          <w:r>
            <w:t>28</w:t>
          </w:r>
          <w:r>
            <w:fldChar w:fldCharType="end"/>
          </w:r>
          <w:r>
            <w:fldChar w:fldCharType="end"/>
          </w:r>
        </w:p>
        <w:p w14:paraId="47E7854B">
          <w:pPr>
            <w:pStyle w:val="19"/>
            <w:rPr>
              <w:rFonts w:ascii="宋体" w:hAnsi="宋体" w:eastAsiaTheme="minorEastAsia"/>
              <w:sz w:val="21"/>
              <w:szCs w:val="22"/>
            </w:rPr>
          </w:pPr>
          <w:r>
            <w:fldChar w:fldCharType="begin"/>
          </w:r>
          <w:r>
            <w:instrText xml:space="preserve"> HYPERLINK \l "_Toc219068714" </w:instrText>
          </w:r>
          <w:r>
            <w:fldChar w:fldCharType="separate"/>
          </w:r>
          <w:r>
            <w:rPr>
              <w:rStyle w:val="25"/>
              <w:rFonts w:ascii="宋体" w:hAnsi="宋体"/>
            </w:rPr>
            <w:t>第五章  全方位促消费扩投资，积极融入国内国际双循环新格局</w:t>
          </w:r>
          <w:r>
            <w:rPr>
              <w:rFonts w:ascii="宋体" w:hAnsi="宋体"/>
            </w:rPr>
            <w:tab/>
          </w:r>
          <w:r>
            <w:rPr>
              <w:rFonts w:ascii="宋体" w:hAnsi="宋体"/>
            </w:rPr>
            <w:fldChar w:fldCharType="begin"/>
          </w:r>
          <w:r>
            <w:rPr>
              <w:rFonts w:ascii="宋体" w:hAnsi="宋体"/>
            </w:rPr>
            <w:instrText xml:space="preserve"> PAGEREF _Toc219068714 \h </w:instrText>
          </w:r>
          <w:r>
            <w:rPr>
              <w:rFonts w:ascii="宋体" w:hAnsi="宋体"/>
            </w:rPr>
            <w:fldChar w:fldCharType="separate"/>
          </w:r>
          <w:r>
            <w:rPr>
              <w:rFonts w:ascii="宋体" w:hAnsi="宋体"/>
            </w:rPr>
            <w:t>32</w:t>
          </w:r>
          <w:r>
            <w:rPr>
              <w:rFonts w:ascii="宋体" w:hAnsi="宋体"/>
            </w:rPr>
            <w:fldChar w:fldCharType="end"/>
          </w:r>
          <w:r>
            <w:rPr>
              <w:rFonts w:ascii="宋体" w:hAnsi="宋体"/>
            </w:rPr>
            <w:fldChar w:fldCharType="end"/>
          </w:r>
        </w:p>
        <w:p w14:paraId="21719B98">
          <w:pPr>
            <w:pStyle w:val="13"/>
            <w:rPr>
              <w:rFonts w:eastAsiaTheme="minorEastAsia"/>
              <w:sz w:val="21"/>
            </w:rPr>
          </w:pPr>
          <w:r>
            <w:fldChar w:fldCharType="begin"/>
          </w:r>
          <w:r>
            <w:instrText xml:space="preserve"> HYPERLINK \l "_Toc219068715" </w:instrText>
          </w:r>
          <w:r>
            <w:fldChar w:fldCharType="separate"/>
          </w:r>
          <w:r>
            <w:rPr>
              <w:rStyle w:val="25"/>
            </w:rPr>
            <w:t xml:space="preserve">第一节 </w:t>
          </w:r>
          <w:r>
            <w:rPr>
              <w:rStyle w:val="25"/>
              <w:rFonts w:cs="Times New Roman"/>
              <w:kern w:val="0"/>
            </w:rPr>
            <w:t>大力提振消费</w:t>
          </w:r>
          <w:r>
            <w:tab/>
          </w:r>
          <w:r>
            <w:fldChar w:fldCharType="begin"/>
          </w:r>
          <w:r>
            <w:instrText xml:space="preserve"> PAGEREF _Toc219068715 \h </w:instrText>
          </w:r>
          <w:r>
            <w:fldChar w:fldCharType="separate"/>
          </w:r>
          <w:r>
            <w:t>32</w:t>
          </w:r>
          <w:r>
            <w:fldChar w:fldCharType="end"/>
          </w:r>
          <w:r>
            <w:fldChar w:fldCharType="end"/>
          </w:r>
        </w:p>
        <w:p w14:paraId="0227B07B">
          <w:pPr>
            <w:pStyle w:val="13"/>
            <w:rPr>
              <w:rFonts w:eastAsiaTheme="minorEastAsia"/>
              <w:sz w:val="21"/>
            </w:rPr>
          </w:pPr>
          <w:r>
            <w:fldChar w:fldCharType="begin"/>
          </w:r>
          <w:r>
            <w:instrText xml:space="preserve"> HYPERLINK \l "_Toc219068716" </w:instrText>
          </w:r>
          <w:r>
            <w:fldChar w:fldCharType="separate"/>
          </w:r>
          <w:r>
            <w:rPr>
              <w:rStyle w:val="25"/>
            </w:rPr>
            <w:t xml:space="preserve">第二节 </w:t>
          </w:r>
          <w:r>
            <w:rPr>
              <w:rStyle w:val="25"/>
              <w:rFonts w:cs="Times New Roman"/>
              <w:kern w:val="0"/>
            </w:rPr>
            <w:t>积极促进投资扩量提质</w:t>
          </w:r>
          <w:r>
            <w:tab/>
          </w:r>
          <w:r>
            <w:fldChar w:fldCharType="begin"/>
          </w:r>
          <w:r>
            <w:instrText xml:space="preserve"> PAGEREF _Toc219068716 \h </w:instrText>
          </w:r>
          <w:r>
            <w:fldChar w:fldCharType="separate"/>
          </w:r>
          <w:r>
            <w:t>34</w:t>
          </w:r>
          <w:r>
            <w:fldChar w:fldCharType="end"/>
          </w:r>
          <w:r>
            <w:fldChar w:fldCharType="end"/>
          </w:r>
        </w:p>
        <w:p w14:paraId="6EB897DD">
          <w:pPr>
            <w:pStyle w:val="13"/>
            <w:rPr>
              <w:rFonts w:eastAsiaTheme="minorEastAsia"/>
              <w:sz w:val="21"/>
            </w:rPr>
          </w:pPr>
          <w:r>
            <w:fldChar w:fldCharType="begin"/>
          </w:r>
          <w:r>
            <w:instrText xml:space="preserve"> HYPERLINK \l "_Toc219068717" </w:instrText>
          </w:r>
          <w:r>
            <w:fldChar w:fldCharType="separate"/>
          </w:r>
          <w:r>
            <w:rPr>
              <w:rStyle w:val="25"/>
            </w:rPr>
            <w:t xml:space="preserve">第三节 </w:t>
          </w:r>
          <w:r>
            <w:rPr>
              <w:rStyle w:val="25"/>
              <w:rFonts w:cs="Times New Roman"/>
              <w:kern w:val="0"/>
            </w:rPr>
            <w:t>扎实提升对外开放水平</w:t>
          </w:r>
          <w:r>
            <w:tab/>
          </w:r>
          <w:r>
            <w:fldChar w:fldCharType="begin"/>
          </w:r>
          <w:r>
            <w:instrText xml:space="preserve"> PAGEREF _Toc219068717 \h </w:instrText>
          </w:r>
          <w:r>
            <w:fldChar w:fldCharType="separate"/>
          </w:r>
          <w:r>
            <w:t>36</w:t>
          </w:r>
          <w:r>
            <w:fldChar w:fldCharType="end"/>
          </w:r>
          <w:r>
            <w:fldChar w:fldCharType="end"/>
          </w:r>
        </w:p>
        <w:p w14:paraId="29E54F32">
          <w:pPr>
            <w:pStyle w:val="17"/>
            <w:rPr>
              <w:rFonts w:eastAsiaTheme="minorEastAsia"/>
              <w:sz w:val="21"/>
              <w:szCs w:val="22"/>
            </w:rPr>
          </w:pPr>
          <w:r>
            <w:fldChar w:fldCharType="begin"/>
          </w:r>
          <w:r>
            <w:instrText xml:space="preserve"> HYPERLINK \l "_Toc219068718" </w:instrText>
          </w:r>
          <w:r>
            <w:fldChar w:fldCharType="separate"/>
          </w:r>
          <w:r>
            <w:rPr>
              <w:rStyle w:val="25"/>
              <w:rFonts w:cs="方正小标宋简体"/>
              <w:bCs/>
            </w:rPr>
            <w:t>第三篇  以科技创新引领新质生产力发展，加快构建现代化产业体系，巩固壮大实体经济根基，加快布局未来产业，打造京津冀地区乃至全国的“创新高地”</w:t>
          </w:r>
          <w:r>
            <w:tab/>
          </w:r>
          <w:r>
            <w:fldChar w:fldCharType="begin"/>
          </w:r>
          <w:r>
            <w:instrText xml:space="preserve"> PAGEREF _Toc219068718 \h </w:instrText>
          </w:r>
          <w:r>
            <w:fldChar w:fldCharType="separate"/>
          </w:r>
          <w:r>
            <w:t>38</w:t>
          </w:r>
          <w:r>
            <w:fldChar w:fldCharType="end"/>
          </w:r>
          <w:r>
            <w:fldChar w:fldCharType="end"/>
          </w:r>
        </w:p>
        <w:p w14:paraId="4D409C36">
          <w:pPr>
            <w:pStyle w:val="19"/>
            <w:rPr>
              <w:rFonts w:ascii="宋体" w:hAnsi="宋体" w:eastAsiaTheme="minorEastAsia"/>
              <w:sz w:val="21"/>
              <w:szCs w:val="22"/>
            </w:rPr>
          </w:pPr>
          <w:r>
            <w:fldChar w:fldCharType="begin"/>
          </w:r>
          <w:r>
            <w:instrText xml:space="preserve"> HYPERLINK \l "_Toc219068719" </w:instrText>
          </w:r>
          <w:r>
            <w:fldChar w:fldCharType="separate"/>
          </w:r>
          <w:r>
            <w:rPr>
              <w:rStyle w:val="25"/>
              <w:rFonts w:ascii="宋体" w:hAnsi="宋体"/>
            </w:rPr>
            <w:t>第六章  大力推进科技创新，塑造高质量发展新动能</w:t>
          </w:r>
          <w:r>
            <w:rPr>
              <w:rFonts w:ascii="宋体" w:hAnsi="宋体"/>
            </w:rPr>
            <w:tab/>
          </w:r>
          <w:r>
            <w:rPr>
              <w:rFonts w:ascii="宋体" w:hAnsi="宋体"/>
            </w:rPr>
            <w:fldChar w:fldCharType="begin"/>
          </w:r>
          <w:r>
            <w:rPr>
              <w:rFonts w:ascii="宋体" w:hAnsi="宋体"/>
            </w:rPr>
            <w:instrText xml:space="preserve"> PAGEREF _Toc219068719 \h </w:instrText>
          </w:r>
          <w:r>
            <w:rPr>
              <w:rFonts w:ascii="宋体" w:hAnsi="宋体"/>
            </w:rPr>
            <w:fldChar w:fldCharType="separate"/>
          </w:r>
          <w:r>
            <w:rPr>
              <w:rFonts w:ascii="宋体" w:hAnsi="宋体"/>
            </w:rPr>
            <w:t>38</w:t>
          </w:r>
          <w:r>
            <w:rPr>
              <w:rFonts w:ascii="宋体" w:hAnsi="宋体"/>
            </w:rPr>
            <w:fldChar w:fldCharType="end"/>
          </w:r>
          <w:r>
            <w:rPr>
              <w:rFonts w:ascii="宋体" w:hAnsi="宋体"/>
            </w:rPr>
            <w:fldChar w:fldCharType="end"/>
          </w:r>
        </w:p>
        <w:p w14:paraId="24A84D75">
          <w:pPr>
            <w:pStyle w:val="13"/>
            <w:rPr>
              <w:rFonts w:eastAsiaTheme="minorEastAsia"/>
              <w:sz w:val="21"/>
            </w:rPr>
          </w:pPr>
          <w:r>
            <w:fldChar w:fldCharType="begin"/>
          </w:r>
          <w:r>
            <w:instrText xml:space="preserve"> HYPERLINK \l "_Toc219068720" </w:instrText>
          </w:r>
          <w:r>
            <w:fldChar w:fldCharType="separate"/>
          </w:r>
          <w:r>
            <w:rPr>
              <w:rStyle w:val="25"/>
            </w:rPr>
            <w:t>第一节 提升平台载体产出能级</w:t>
          </w:r>
          <w:r>
            <w:tab/>
          </w:r>
          <w:r>
            <w:fldChar w:fldCharType="begin"/>
          </w:r>
          <w:r>
            <w:instrText xml:space="preserve"> PAGEREF _Toc219068720 \h </w:instrText>
          </w:r>
          <w:r>
            <w:fldChar w:fldCharType="separate"/>
          </w:r>
          <w:r>
            <w:t>38</w:t>
          </w:r>
          <w:r>
            <w:fldChar w:fldCharType="end"/>
          </w:r>
          <w:r>
            <w:fldChar w:fldCharType="end"/>
          </w:r>
        </w:p>
        <w:p w14:paraId="0FFEFD88">
          <w:pPr>
            <w:pStyle w:val="13"/>
            <w:rPr>
              <w:rFonts w:eastAsiaTheme="minorEastAsia"/>
              <w:sz w:val="21"/>
            </w:rPr>
          </w:pPr>
          <w:r>
            <w:fldChar w:fldCharType="begin"/>
          </w:r>
          <w:r>
            <w:instrText xml:space="preserve"> HYPERLINK \l "_Toc219068721" </w:instrText>
          </w:r>
          <w:r>
            <w:fldChar w:fldCharType="separate"/>
          </w:r>
          <w:r>
            <w:rPr>
              <w:rStyle w:val="25"/>
            </w:rPr>
            <w:t>第二节 推动科技创新和产业创新融合</w:t>
          </w:r>
          <w:r>
            <w:tab/>
          </w:r>
          <w:r>
            <w:fldChar w:fldCharType="begin"/>
          </w:r>
          <w:r>
            <w:instrText xml:space="preserve"> PAGEREF _Toc219068721 \h </w:instrText>
          </w:r>
          <w:r>
            <w:fldChar w:fldCharType="separate"/>
          </w:r>
          <w:r>
            <w:t>40</w:t>
          </w:r>
          <w:r>
            <w:fldChar w:fldCharType="end"/>
          </w:r>
          <w:r>
            <w:fldChar w:fldCharType="end"/>
          </w:r>
        </w:p>
        <w:p w14:paraId="3F0B591B">
          <w:pPr>
            <w:pStyle w:val="13"/>
            <w:rPr>
              <w:rFonts w:eastAsiaTheme="minorEastAsia"/>
              <w:sz w:val="21"/>
            </w:rPr>
          </w:pPr>
          <w:r>
            <w:fldChar w:fldCharType="begin"/>
          </w:r>
          <w:r>
            <w:instrText xml:space="preserve"> HYPERLINK \l "_Toc219068722" </w:instrText>
          </w:r>
          <w:r>
            <w:fldChar w:fldCharType="separate"/>
          </w:r>
          <w:r>
            <w:rPr>
              <w:rStyle w:val="25"/>
            </w:rPr>
            <w:t>第三节 加速科技成果转化</w:t>
          </w:r>
          <w:r>
            <w:tab/>
          </w:r>
          <w:r>
            <w:fldChar w:fldCharType="begin"/>
          </w:r>
          <w:r>
            <w:instrText xml:space="preserve"> PAGEREF _Toc219068722 \h </w:instrText>
          </w:r>
          <w:r>
            <w:fldChar w:fldCharType="separate"/>
          </w:r>
          <w:r>
            <w:t>41</w:t>
          </w:r>
          <w:r>
            <w:fldChar w:fldCharType="end"/>
          </w:r>
          <w:r>
            <w:fldChar w:fldCharType="end"/>
          </w:r>
        </w:p>
        <w:p w14:paraId="64EF30CB">
          <w:pPr>
            <w:pStyle w:val="19"/>
            <w:rPr>
              <w:rFonts w:ascii="宋体" w:hAnsi="宋体" w:eastAsiaTheme="minorEastAsia"/>
              <w:sz w:val="21"/>
              <w:szCs w:val="22"/>
            </w:rPr>
          </w:pPr>
          <w:r>
            <w:fldChar w:fldCharType="begin"/>
          </w:r>
          <w:r>
            <w:instrText xml:space="preserve"> HYPERLINK \l "_Toc219068723" </w:instrText>
          </w:r>
          <w:r>
            <w:fldChar w:fldCharType="separate"/>
          </w:r>
          <w:r>
            <w:rPr>
              <w:rStyle w:val="25"/>
              <w:rFonts w:ascii="宋体" w:hAnsi="宋体"/>
            </w:rPr>
            <w:t>第七章  夯实人才战略支撑，构筑创新发展新优势</w:t>
          </w:r>
          <w:r>
            <w:rPr>
              <w:rFonts w:ascii="宋体" w:hAnsi="宋体"/>
            </w:rPr>
            <w:tab/>
          </w:r>
          <w:r>
            <w:rPr>
              <w:rFonts w:ascii="宋体" w:hAnsi="宋体"/>
            </w:rPr>
            <w:fldChar w:fldCharType="begin"/>
          </w:r>
          <w:r>
            <w:rPr>
              <w:rFonts w:ascii="宋体" w:hAnsi="宋体"/>
            </w:rPr>
            <w:instrText xml:space="preserve"> PAGEREF _Toc219068723 \h </w:instrText>
          </w:r>
          <w:r>
            <w:rPr>
              <w:rFonts w:ascii="宋体" w:hAnsi="宋体"/>
            </w:rPr>
            <w:fldChar w:fldCharType="separate"/>
          </w:r>
          <w:r>
            <w:rPr>
              <w:rFonts w:ascii="宋体" w:hAnsi="宋体"/>
            </w:rPr>
            <w:t>44</w:t>
          </w:r>
          <w:r>
            <w:rPr>
              <w:rFonts w:ascii="宋体" w:hAnsi="宋体"/>
            </w:rPr>
            <w:fldChar w:fldCharType="end"/>
          </w:r>
          <w:r>
            <w:rPr>
              <w:rFonts w:ascii="宋体" w:hAnsi="宋体"/>
            </w:rPr>
            <w:fldChar w:fldCharType="end"/>
          </w:r>
        </w:p>
        <w:p w14:paraId="78416BB5">
          <w:pPr>
            <w:pStyle w:val="13"/>
            <w:rPr>
              <w:rFonts w:eastAsiaTheme="minorEastAsia"/>
              <w:sz w:val="21"/>
            </w:rPr>
          </w:pPr>
          <w:r>
            <w:fldChar w:fldCharType="begin"/>
          </w:r>
          <w:r>
            <w:instrText xml:space="preserve"> HYPERLINK \l "_Toc219068724" </w:instrText>
          </w:r>
          <w:r>
            <w:fldChar w:fldCharType="separate"/>
          </w:r>
          <w:r>
            <w:rPr>
              <w:rStyle w:val="25"/>
            </w:rPr>
            <w:t>第一节 聚焦发展需求精准引才</w:t>
          </w:r>
          <w:r>
            <w:tab/>
          </w:r>
          <w:r>
            <w:fldChar w:fldCharType="begin"/>
          </w:r>
          <w:r>
            <w:instrText xml:space="preserve"> PAGEREF _Toc219068724 \h </w:instrText>
          </w:r>
          <w:r>
            <w:fldChar w:fldCharType="separate"/>
          </w:r>
          <w:r>
            <w:t>44</w:t>
          </w:r>
          <w:r>
            <w:fldChar w:fldCharType="end"/>
          </w:r>
          <w:r>
            <w:fldChar w:fldCharType="end"/>
          </w:r>
        </w:p>
        <w:p w14:paraId="3F39292F">
          <w:pPr>
            <w:pStyle w:val="13"/>
            <w:rPr>
              <w:rFonts w:eastAsiaTheme="minorEastAsia"/>
              <w:sz w:val="21"/>
            </w:rPr>
          </w:pPr>
          <w:r>
            <w:fldChar w:fldCharType="begin"/>
          </w:r>
          <w:r>
            <w:instrText xml:space="preserve"> HYPERLINK \l "_Toc219068725" </w:instrText>
          </w:r>
          <w:r>
            <w:fldChar w:fldCharType="separate"/>
          </w:r>
          <w:r>
            <w:rPr>
              <w:rStyle w:val="25"/>
            </w:rPr>
            <w:t>第二节 整合内外资源系统育才</w:t>
          </w:r>
          <w:r>
            <w:tab/>
          </w:r>
          <w:r>
            <w:fldChar w:fldCharType="begin"/>
          </w:r>
          <w:r>
            <w:instrText xml:space="preserve"> PAGEREF _Toc219068725 \h </w:instrText>
          </w:r>
          <w:r>
            <w:fldChar w:fldCharType="separate"/>
          </w:r>
          <w:r>
            <w:t>45</w:t>
          </w:r>
          <w:r>
            <w:fldChar w:fldCharType="end"/>
          </w:r>
          <w:r>
            <w:fldChar w:fldCharType="end"/>
          </w:r>
        </w:p>
        <w:p w14:paraId="1DE435C5">
          <w:pPr>
            <w:pStyle w:val="13"/>
            <w:rPr>
              <w:rFonts w:eastAsiaTheme="minorEastAsia"/>
              <w:sz w:val="21"/>
            </w:rPr>
          </w:pPr>
          <w:r>
            <w:fldChar w:fldCharType="begin"/>
          </w:r>
          <w:r>
            <w:instrText xml:space="preserve"> HYPERLINK \l "_Toc219068726" </w:instrText>
          </w:r>
          <w:r>
            <w:fldChar w:fldCharType="separate"/>
          </w:r>
          <w:r>
            <w:rPr>
              <w:rStyle w:val="25"/>
            </w:rPr>
            <w:t>第三节 立足产业协同高效用才</w:t>
          </w:r>
          <w:r>
            <w:tab/>
          </w:r>
          <w:r>
            <w:fldChar w:fldCharType="begin"/>
          </w:r>
          <w:r>
            <w:instrText xml:space="preserve"> PAGEREF _Toc219068726 \h </w:instrText>
          </w:r>
          <w:r>
            <w:fldChar w:fldCharType="separate"/>
          </w:r>
          <w:r>
            <w:t>46</w:t>
          </w:r>
          <w:r>
            <w:fldChar w:fldCharType="end"/>
          </w:r>
          <w:r>
            <w:fldChar w:fldCharType="end"/>
          </w:r>
        </w:p>
        <w:p w14:paraId="7E826479">
          <w:pPr>
            <w:pStyle w:val="13"/>
            <w:rPr>
              <w:rFonts w:eastAsiaTheme="minorEastAsia"/>
              <w:sz w:val="21"/>
            </w:rPr>
          </w:pPr>
          <w:r>
            <w:fldChar w:fldCharType="begin"/>
          </w:r>
          <w:r>
            <w:instrText xml:space="preserve"> HYPERLINK \l "_Toc219068727" </w:instrText>
          </w:r>
          <w:r>
            <w:fldChar w:fldCharType="separate"/>
          </w:r>
          <w:r>
            <w:rPr>
              <w:rStyle w:val="25"/>
            </w:rPr>
            <w:t>第四节 优化发展环境精心留才</w:t>
          </w:r>
          <w:r>
            <w:tab/>
          </w:r>
          <w:r>
            <w:fldChar w:fldCharType="begin"/>
          </w:r>
          <w:r>
            <w:instrText xml:space="preserve"> PAGEREF _Toc219068727 \h </w:instrText>
          </w:r>
          <w:r>
            <w:fldChar w:fldCharType="separate"/>
          </w:r>
          <w:r>
            <w:t>47</w:t>
          </w:r>
          <w:r>
            <w:fldChar w:fldCharType="end"/>
          </w:r>
          <w:r>
            <w:fldChar w:fldCharType="end"/>
          </w:r>
        </w:p>
        <w:p w14:paraId="340C8CAC">
          <w:pPr>
            <w:pStyle w:val="19"/>
            <w:rPr>
              <w:rFonts w:ascii="宋体" w:hAnsi="宋体" w:eastAsiaTheme="minorEastAsia"/>
              <w:sz w:val="21"/>
              <w:szCs w:val="22"/>
            </w:rPr>
          </w:pPr>
          <w:r>
            <w:fldChar w:fldCharType="begin"/>
          </w:r>
          <w:r>
            <w:instrText xml:space="preserve"> HYPERLINK \l "_Toc219068728" </w:instrText>
          </w:r>
          <w:r>
            <w:fldChar w:fldCharType="separate"/>
          </w:r>
          <w:r>
            <w:rPr>
              <w:rStyle w:val="25"/>
              <w:rFonts w:ascii="宋体" w:hAnsi="宋体"/>
            </w:rPr>
            <w:t>第八章  构建现代化产业体系，巩固壮大实体经济根基</w:t>
          </w:r>
          <w:r>
            <w:rPr>
              <w:rFonts w:ascii="宋体" w:hAnsi="宋体"/>
            </w:rPr>
            <w:tab/>
          </w:r>
          <w:r>
            <w:rPr>
              <w:rFonts w:ascii="宋体" w:hAnsi="宋体"/>
            </w:rPr>
            <w:fldChar w:fldCharType="begin"/>
          </w:r>
          <w:r>
            <w:rPr>
              <w:rFonts w:ascii="宋体" w:hAnsi="宋体"/>
            </w:rPr>
            <w:instrText xml:space="preserve"> PAGEREF _Toc219068728 \h </w:instrText>
          </w:r>
          <w:r>
            <w:rPr>
              <w:rFonts w:ascii="宋体" w:hAnsi="宋体"/>
            </w:rPr>
            <w:fldChar w:fldCharType="separate"/>
          </w:r>
          <w:r>
            <w:rPr>
              <w:rFonts w:ascii="宋体" w:hAnsi="宋体"/>
            </w:rPr>
            <w:t>50</w:t>
          </w:r>
          <w:r>
            <w:rPr>
              <w:rFonts w:ascii="宋体" w:hAnsi="宋体"/>
            </w:rPr>
            <w:fldChar w:fldCharType="end"/>
          </w:r>
          <w:r>
            <w:rPr>
              <w:rFonts w:ascii="宋体" w:hAnsi="宋体"/>
            </w:rPr>
            <w:fldChar w:fldCharType="end"/>
          </w:r>
        </w:p>
        <w:p w14:paraId="5881D967">
          <w:pPr>
            <w:pStyle w:val="13"/>
            <w:rPr>
              <w:rFonts w:eastAsiaTheme="minorEastAsia"/>
              <w:sz w:val="21"/>
            </w:rPr>
          </w:pPr>
          <w:r>
            <w:fldChar w:fldCharType="begin"/>
          </w:r>
          <w:r>
            <w:instrText xml:space="preserve"> HYPERLINK \l "_Toc219068729" </w:instrText>
          </w:r>
          <w:r>
            <w:fldChar w:fldCharType="separate"/>
          </w:r>
          <w:r>
            <w:rPr>
              <w:rStyle w:val="25"/>
            </w:rPr>
            <w:t>第一节 提升重点产业链群能级</w:t>
          </w:r>
          <w:r>
            <w:tab/>
          </w:r>
          <w:r>
            <w:fldChar w:fldCharType="begin"/>
          </w:r>
          <w:r>
            <w:instrText xml:space="preserve"> PAGEREF _Toc219068729 \h </w:instrText>
          </w:r>
          <w:r>
            <w:fldChar w:fldCharType="separate"/>
          </w:r>
          <w:r>
            <w:t>50</w:t>
          </w:r>
          <w:r>
            <w:fldChar w:fldCharType="end"/>
          </w:r>
          <w:r>
            <w:fldChar w:fldCharType="end"/>
          </w:r>
        </w:p>
        <w:p w14:paraId="2DEA93FB">
          <w:pPr>
            <w:pStyle w:val="13"/>
            <w:rPr>
              <w:rFonts w:eastAsiaTheme="minorEastAsia"/>
              <w:sz w:val="21"/>
            </w:rPr>
          </w:pPr>
          <w:r>
            <w:fldChar w:fldCharType="begin"/>
          </w:r>
          <w:r>
            <w:instrText xml:space="preserve"> HYPERLINK \l "_Toc219068730" </w:instrText>
          </w:r>
          <w:r>
            <w:fldChar w:fldCharType="separate"/>
          </w:r>
          <w:r>
            <w:rPr>
              <w:rStyle w:val="25"/>
            </w:rPr>
            <w:t>第二节 培育战略性新兴产业和未来产业</w:t>
          </w:r>
          <w:r>
            <w:tab/>
          </w:r>
          <w:r>
            <w:fldChar w:fldCharType="begin"/>
          </w:r>
          <w:r>
            <w:instrText xml:space="preserve"> PAGEREF _Toc219068730 \h </w:instrText>
          </w:r>
          <w:r>
            <w:fldChar w:fldCharType="separate"/>
          </w:r>
          <w:r>
            <w:t>53</w:t>
          </w:r>
          <w:r>
            <w:fldChar w:fldCharType="end"/>
          </w:r>
          <w:r>
            <w:fldChar w:fldCharType="end"/>
          </w:r>
        </w:p>
        <w:p w14:paraId="1E296079">
          <w:pPr>
            <w:pStyle w:val="13"/>
            <w:rPr>
              <w:rFonts w:eastAsiaTheme="minorEastAsia"/>
              <w:sz w:val="21"/>
            </w:rPr>
          </w:pPr>
          <w:r>
            <w:fldChar w:fldCharType="begin"/>
          </w:r>
          <w:r>
            <w:instrText xml:space="preserve"> HYPERLINK \l "_Toc219068731" </w:instrText>
          </w:r>
          <w:r>
            <w:fldChar w:fldCharType="separate"/>
          </w:r>
          <w:r>
            <w:rPr>
              <w:rStyle w:val="25"/>
            </w:rPr>
            <w:t>第三节 推动传统产业转型升级</w:t>
          </w:r>
          <w:r>
            <w:tab/>
          </w:r>
          <w:r>
            <w:fldChar w:fldCharType="begin"/>
          </w:r>
          <w:r>
            <w:instrText xml:space="preserve"> PAGEREF _Toc219068731 \h </w:instrText>
          </w:r>
          <w:r>
            <w:fldChar w:fldCharType="separate"/>
          </w:r>
          <w:r>
            <w:t>55</w:t>
          </w:r>
          <w:r>
            <w:fldChar w:fldCharType="end"/>
          </w:r>
          <w:r>
            <w:fldChar w:fldCharType="end"/>
          </w:r>
        </w:p>
        <w:p w14:paraId="13CC35F2">
          <w:pPr>
            <w:pStyle w:val="13"/>
            <w:rPr>
              <w:rFonts w:eastAsiaTheme="minorEastAsia"/>
              <w:sz w:val="21"/>
            </w:rPr>
          </w:pPr>
          <w:r>
            <w:fldChar w:fldCharType="begin"/>
          </w:r>
          <w:r>
            <w:instrText xml:space="preserve"> HYPERLINK \l "_Toc219068732" </w:instrText>
          </w:r>
          <w:r>
            <w:fldChar w:fldCharType="separate"/>
          </w:r>
          <w:r>
            <w:rPr>
              <w:rStyle w:val="25"/>
            </w:rPr>
            <w:t>第四节 加快现代服务业发展</w:t>
          </w:r>
          <w:r>
            <w:tab/>
          </w:r>
          <w:r>
            <w:fldChar w:fldCharType="begin"/>
          </w:r>
          <w:r>
            <w:instrText xml:space="preserve"> PAGEREF _Toc219068732 \h </w:instrText>
          </w:r>
          <w:r>
            <w:fldChar w:fldCharType="separate"/>
          </w:r>
          <w:r>
            <w:t>58</w:t>
          </w:r>
          <w:r>
            <w:fldChar w:fldCharType="end"/>
          </w:r>
          <w:r>
            <w:fldChar w:fldCharType="end"/>
          </w:r>
        </w:p>
        <w:p w14:paraId="7B2E7436">
          <w:pPr>
            <w:pStyle w:val="13"/>
            <w:rPr>
              <w:rFonts w:eastAsiaTheme="minorEastAsia"/>
              <w:sz w:val="21"/>
            </w:rPr>
          </w:pPr>
          <w:r>
            <w:fldChar w:fldCharType="begin"/>
          </w:r>
          <w:r>
            <w:instrText xml:space="preserve"> HYPERLINK \l "_Toc219068733" </w:instrText>
          </w:r>
          <w:r>
            <w:fldChar w:fldCharType="separate"/>
          </w:r>
          <w:r>
            <w:rPr>
              <w:rStyle w:val="25"/>
            </w:rPr>
            <w:t>第五节 筑牢开发区经济基本盘</w:t>
          </w:r>
          <w:r>
            <w:tab/>
          </w:r>
          <w:r>
            <w:fldChar w:fldCharType="begin"/>
          </w:r>
          <w:r>
            <w:instrText xml:space="preserve"> PAGEREF _Toc219068733 \h </w:instrText>
          </w:r>
          <w:r>
            <w:fldChar w:fldCharType="separate"/>
          </w:r>
          <w:r>
            <w:t>61</w:t>
          </w:r>
          <w:r>
            <w:fldChar w:fldCharType="end"/>
          </w:r>
          <w:r>
            <w:fldChar w:fldCharType="end"/>
          </w:r>
        </w:p>
        <w:p w14:paraId="2939E366">
          <w:pPr>
            <w:pStyle w:val="17"/>
            <w:rPr>
              <w:rFonts w:eastAsiaTheme="minorEastAsia"/>
              <w:sz w:val="21"/>
              <w:szCs w:val="22"/>
            </w:rPr>
          </w:pPr>
          <w:r>
            <w:fldChar w:fldCharType="begin"/>
          </w:r>
          <w:r>
            <w:instrText xml:space="preserve"> HYPERLINK \l "_Toc219068734" </w:instrText>
          </w:r>
          <w:r>
            <w:fldChar w:fldCharType="separate"/>
          </w:r>
          <w:r>
            <w:rPr>
              <w:rStyle w:val="25"/>
            </w:rPr>
            <w:t>第四篇  立足大水大绿生态本底，推动乡村全面振兴，加快绿色产业发展，促进农商文体旅深度融合，打造生态宜居、文化繁荣、文旅融合的“水韵胜地”</w:t>
          </w:r>
          <w:r>
            <w:tab/>
          </w:r>
          <w:r>
            <w:fldChar w:fldCharType="begin"/>
          </w:r>
          <w:r>
            <w:instrText xml:space="preserve"> PAGEREF _Toc219068734 \h </w:instrText>
          </w:r>
          <w:r>
            <w:fldChar w:fldCharType="separate"/>
          </w:r>
          <w:r>
            <w:t>63</w:t>
          </w:r>
          <w:r>
            <w:fldChar w:fldCharType="end"/>
          </w:r>
          <w:r>
            <w:fldChar w:fldCharType="end"/>
          </w:r>
        </w:p>
        <w:p w14:paraId="16A8FE1F">
          <w:pPr>
            <w:pStyle w:val="19"/>
            <w:rPr>
              <w:rFonts w:ascii="宋体" w:hAnsi="宋体" w:eastAsiaTheme="minorEastAsia"/>
              <w:sz w:val="21"/>
              <w:szCs w:val="22"/>
            </w:rPr>
          </w:pPr>
          <w:r>
            <w:fldChar w:fldCharType="begin"/>
          </w:r>
          <w:r>
            <w:instrText xml:space="preserve"> HYPERLINK \l "_Toc219068735" </w:instrText>
          </w:r>
          <w:r>
            <w:fldChar w:fldCharType="separate"/>
          </w:r>
          <w:r>
            <w:rPr>
              <w:rStyle w:val="25"/>
              <w:rFonts w:ascii="宋体" w:hAnsi="宋体" w:cs="Times New Roman"/>
            </w:rPr>
            <w:t xml:space="preserve">第九章  </w:t>
          </w:r>
          <w:r>
            <w:rPr>
              <w:rStyle w:val="25"/>
              <w:rFonts w:ascii="宋体" w:hAnsi="宋体"/>
            </w:rPr>
            <w:t>优先发展农业农村，深化建设高水平农业强区</w:t>
          </w:r>
          <w:r>
            <w:rPr>
              <w:rFonts w:ascii="宋体" w:hAnsi="宋体"/>
            </w:rPr>
            <w:tab/>
          </w:r>
          <w:r>
            <w:rPr>
              <w:rFonts w:ascii="宋体" w:hAnsi="宋体"/>
            </w:rPr>
            <w:fldChar w:fldCharType="begin"/>
          </w:r>
          <w:r>
            <w:rPr>
              <w:rFonts w:ascii="宋体" w:hAnsi="宋体"/>
            </w:rPr>
            <w:instrText xml:space="preserve"> PAGEREF _Toc219068735 \h </w:instrText>
          </w:r>
          <w:r>
            <w:rPr>
              <w:rFonts w:ascii="宋体" w:hAnsi="宋体"/>
            </w:rPr>
            <w:fldChar w:fldCharType="separate"/>
          </w:r>
          <w:r>
            <w:rPr>
              <w:rFonts w:ascii="宋体" w:hAnsi="宋体"/>
            </w:rPr>
            <w:t>63</w:t>
          </w:r>
          <w:r>
            <w:rPr>
              <w:rFonts w:ascii="宋体" w:hAnsi="宋体"/>
            </w:rPr>
            <w:fldChar w:fldCharType="end"/>
          </w:r>
          <w:r>
            <w:rPr>
              <w:rFonts w:ascii="宋体" w:hAnsi="宋体"/>
            </w:rPr>
            <w:fldChar w:fldCharType="end"/>
          </w:r>
        </w:p>
        <w:p w14:paraId="213140C7">
          <w:pPr>
            <w:pStyle w:val="13"/>
            <w:rPr>
              <w:rFonts w:eastAsiaTheme="minorEastAsia"/>
              <w:sz w:val="21"/>
            </w:rPr>
          </w:pPr>
          <w:r>
            <w:fldChar w:fldCharType="begin"/>
          </w:r>
          <w:r>
            <w:instrText xml:space="preserve"> HYPERLINK \l "_Toc219068736" </w:instrText>
          </w:r>
          <w:r>
            <w:fldChar w:fldCharType="separate"/>
          </w:r>
          <w:r>
            <w:rPr>
              <w:rStyle w:val="25"/>
            </w:rPr>
            <w:t>第一节 打造高质高效现代都市型农业</w:t>
          </w:r>
          <w:r>
            <w:tab/>
          </w:r>
          <w:r>
            <w:fldChar w:fldCharType="begin"/>
          </w:r>
          <w:r>
            <w:instrText xml:space="preserve"> PAGEREF _Toc219068736 \h </w:instrText>
          </w:r>
          <w:r>
            <w:fldChar w:fldCharType="separate"/>
          </w:r>
          <w:r>
            <w:t>63</w:t>
          </w:r>
          <w:r>
            <w:fldChar w:fldCharType="end"/>
          </w:r>
          <w:r>
            <w:fldChar w:fldCharType="end"/>
          </w:r>
        </w:p>
        <w:p w14:paraId="78C6F89F">
          <w:pPr>
            <w:pStyle w:val="13"/>
            <w:rPr>
              <w:rFonts w:eastAsiaTheme="minorEastAsia"/>
              <w:sz w:val="21"/>
            </w:rPr>
          </w:pPr>
          <w:r>
            <w:fldChar w:fldCharType="begin"/>
          </w:r>
          <w:r>
            <w:instrText xml:space="preserve"> HYPERLINK \l "_Toc219068737" </w:instrText>
          </w:r>
          <w:r>
            <w:fldChar w:fldCharType="separate"/>
          </w:r>
          <w:r>
            <w:rPr>
              <w:rStyle w:val="25"/>
            </w:rPr>
            <w:t>第二节 绘就宜居宜业和美乡村新画卷</w:t>
          </w:r>
          <w:r>
            <w:tab/>
          </w:r>
          <w:r>
            <w:fldChar w:fldCharType="begin"/>
          </w:r>
          <w:r>
            <w:instrText xml:space="preserve"> PAGEREF _Toc219068737 \h </w:instrText>
          </w:r>
          <w:r>
            <w:fldChar w:fldCharType="separate"/>
          </w:r>
          <w:r>
            <w:t>68</w:t>
          </w:r>
          <w:r>
            <w:fldChar w:fldCharType="end"/>
          </w:r>
          <w:r>
            <w:fldChar w:fldCharType="end"/>
          </w:r>
        </w:p>
        <w:p w14:paraId="743FE5BC">
          <w:pPr>
            <w:pStyle w:val="13"/>
            <w:rPr>
              <w:rFonts w:eastAsiaTheme="minorEastAsia"/>
              <w:sz w:val="21"/>
            </w:rPr>
          </w:pPr>
          <w:r>
            <w:fldChar w:fldCharType="begin"/>
          </w:r>
          <w:r>
            <w:instrText xml:space="preserve"> HYPERLINK \l "_Toc219068738" </w:instrText>
          </w:r>
          <w:r>
            <w:fldChar w:fldCharType="separate"/>
          </w:r>
          <w:r>
            <w:rPr>
              <w:rStyle w:val="25"/>
            </w:rPr>
            <w:t>第三节 多举措拓宽农民增收致富渠道</w:t>
          </w:r>
          <w:r>
            <w:tab/>
          </w:r>
          <w:r>
            <w:fldChar w:fldCharType="begin"/>
          </w:r>
          <w:r>
            <w:instrText xml:space="preserve"> PAGEREF _Toc219068738 \h </w:instrText>
          </w:r>
          <w:r>
            <w:fldChar w:fldCharType="separate"/>
          </w:r>
          <w:r>
            <w:t>69</w:t>
          </w:r>
          <w:r>
            <w:fldChar w:fldCharType="end"/>
          </w:r>
          <w:r>
            <w:fldChar w:fldCharType="end"/>
          </w:r>
        </w:p>
        <w:p w14:paraId="71FC6A0F">
          <w:pPr>
            <w:pStyle w:val="19"/>
            <w:rPr>
              <w:rFonts w:ascii="宋体" w:hAnsi="宋体" w:eastAsiaTheme="minorEastAsia"/>
              <w:sz w:val="21"/>
              <w:szCs w:val="22"/>
            </w:rPr>
          </w:pPr>
          <w:r>
            <w:fldChar w:fldCharType="begin"/>
          </w:r>
          <w:r>
            <w:instrText xml:space="preserve"> HYPERLINK \l "_Toc219068739" </w:instrText>
          </w:r>
          <w:r>
            <w:fldChar w:fldCharType="separate"/>
          </w:r>
          <w:r>
            <w:rPr>
              <w:rStyle w:val="25"/>
              <w:rFonts w:ascii="宋体" w:hAnsi="宋体" w:cs="Times New Roman"/>
            </w:rPr>
            <w:t xml:space="preserve">第十章  </w:t>
          </w:r>
          <w:r>
            <w:rPr>
              <w:rStyle w:val="25"/>
              <w:rFonts w:ascii="宋体" w:hAnsi="宋体"/>
            </w:rPr>
            <w:t>推进生态文明建设，加快经济社会发展全面绿色转型</w:t>
          </w:r>
          <w:r>
            <w:rPr>
              <w:rFonts w:ascii="宋体" w:hAnsi="宋体"/>
            </w:rPr>
            <w:tab/>
          </w:r>
          <w:r>
            <w:rPr>
              <w:rFonts w:ascii="宋体" w:hAnsi="宋体"/>
            </w:rPr>
            <w:fldChar w:fldCharType="begin"/>
          </w:r>
          <w:r>
            <w:rPr>
              <w:rFonts w:ascii="宋体" w:hAnsi="宋体"/>
            </w:rPr>
            <w:instrText xml:space="preserve"> PAGEREF _Toc219068739 \h </w:instrText>
          </w:r>
          <w:r>
            <w:rPr>
              <w:rFonts w:ascii="宋体" w:hAnsi="宋体"/>
            </w:rPr>
            <w:fldChar w:fldCharType="separate"/>
          </w:r>
          <w:r>
            <w:rPr>
              <w:rFonts w:ascii="宋体" w:hAnsi="宋体"/>
            </w:rPr>
            <w:t>72</w:t>
          </w:r>
          <w:r>
            <w:rPr>
              <w:rFonts w:ascii="宋体" w:hAnsi="宋体"/>
            </w:rPr>
            <w:fldChar w:fldCharType="end"/>
          </w:r>
          <w:r>
            <w:rPr>
              <w:rFonts w:ascii="宋体" w:hAnsi="宋体"/>
            </w:rPr>
            <w:fldChar w:fldCharType="end"/>
          </w:r>
        </w:p>
        <w:p w14:paraId="4F96CBD5">
          <w:pPr>
            <w:pStyle w:val="13"/>
            <w:rPr>
              <w:rFonts w:eastAsiaTheme="minorEastAsia"/>
              <w:sz w:val="21"/>
            </w:rPr>
          </w:pPr>
          <w:r>
            <w:fldChar w:fldCharType="begin"/>
          </w:r>
          <w:r>
            <w:instrText xml:space="preserve"> HYPERLINK \l "_Toc219068740" </w:instrText>
          </w:r>
          <w:r>
            <w:fldChar w:fldCharType="separate"/>
          </w:r>
          <w:r>
            <w:rPr>
              <w:rStyle w:val="25"/>
              <w:rFonts w:cs="Times New Roman"/>
            </w:rPr>
            <w:t>第一节 积极稳妥推进实现碳达峰</w:t>
          </w:r>
          <w:r>
            <w:tab/>
          </w:r>
          <w:r>
            <w:fldChar w:fldCharType="begin"/>
          </w:r>
          <w:r>
            <w:instrText xml:space="preserve"> PAGEREF _Toc219068740 \h </w:instrText>
          </w:r>
          <w:r>
            <w:fldChar w:fldCharType="separate"/>
          </w:r>
          <w:r>
            <w:t>72</w:t>
          </w:r>
          <w:r>
            <w:fldChar w:fldCharType="end"/>
          </w:r>
          <w:r>
            <w:fldChar w:fldCharType="end"/>
          </w:r>
        </w:p>
        <w:p w14:paraId="6A9DAFF3">
          <w:pPr>
            <w:pStyle w:val="13"/>
            <w:rPr>
              <w:rFonts w:eastAsiaTheme="minorEastAsia"/>
              <w:sz w:val="21"/>
            </w:rPr>
          </w:pPr>
          <w:r>
            <w:fldChar w:fldCharType="begin"/>
          </w:r>
          <w:r>
            <w:instrText xml:space="preserve"> HYPERLINK \l "_Toc219068741" </w:instrText>
          </w:r>
          <w:r>
            <w:fldChar w:fldCharType="separate"/>
          </w:r>
          <w:r>
            <w:rPr>
              <w:rStyle w:val="25"/>
            </w:rPr>
            <w:t>第二节 持续打好污染防治攻坚战</w:t>
          </w:r>
          <w:r>
            <w:tab/>
          </w:r>
          <w:r>
            <w:fldChar w:fldCharType="begin"/>
          </w:r>
          <w:r>
            <w:instrText xml:space="preserve"> PAGEREF _Toc219068741 \h </w:instrText>
          </w:r>
          <w:r>
            <w:fldChar w:fldCharType="separate"/>
          </w:r>
          <w:r>
            <w:t>75</w:t>
          </w:r>
          <w:r>
            <w:fldChar w:fldCharType="end"/>
          </w:r>
          <w:r>
            <w:fldChar w:fldCharType="end"/>
          </w:r>
        </w:p>
        <w:p w14:paraId="4E09FFEA">
          <w:pPr>
            <w:pStyle w:val="13"/>
            <w:rPr>
              <w:rFonts w:eastAsiaTheme="minorEastAsia"/>
              <w:sz w:val="21"/>
            </w:rPr>
          </w:pPr>
          <w:r>
            <w:fldChar w:fldCharType="begin"/>
          </w:r>
          <w:r>
            <w:instrText xml:space="preserve"> HYPERLINK \l "_Toc219068742" </w:instrText>
          </w:r>
          <w:r>
            <w:fldChar w:fldCharType="separate"/>
          </w:r>
          <w:r>
            <w:rPr>
              <w:rStyle w:val="25"/>
            </w:rPr>
            <w:t>第三节 构建稳定的生态安全格局</w:t>
          </w:r>
          <w:r>
            <w:tab/>
          </w:r>
          <w:r>
            <w:fldChar w:fldCharType="begin"/>
          </w:r>
          <w:r>
            <w:instrText xml:space="preserve"> PAGEREF _Toc219068742 \h </w:instrText>
          </w:r>
          <w:r>
            <w:fldChar w:fldCharType="separate"/>
          </w:r>
          <w:r>
            <w:t>77</w:t>
          </w:r>
          <w:r>
            <w:fldChar w:fldCharType="end"/>
          </w:r>
          <w:r>
            <w:fldChar w:fldCharType="end"/>
          </w:r>
        </w:p>
        <w:p w14:paraId="7F4FF8F5">
          <w:pPr>
            <w:pStyle w:val="19"/>
            <w:rPr>
              <w:rFonts w:ascii="宋体" w:hAnsi="宋体" w:eastAsiaTheme="minorEastAsia"/>
              <w:sz w:val="21"/>
              <w:szCs w:val="22"/>
            </w:rPr>
          </w:pPr>
          <w:r>
            <w:fldChar w:fldCharType="begin"/>
          </w:r>
          <w:r>
            <w:instrText xml:space="preserve"> HYPERLINK \l "_Toc219068743" </w:instrText>
          </w:r>
          <w:r>
            <w:fldChar w:fldCharType="separate"/>
          </w:r>
          <w:r>
            <w:rPr>
              <w:rStyle w:val="25"/>
              <w:rFonts w:ascii="宋体" w:hAnsi="宋体"/>
              <w:bCs/>
            </w:rPr>
            <w:t>第十一章  赓续传统历史文脉，谱写现代“文宝坻”新篇章</w:t>
          </w:r>
          <w:r>
            <w:rPr>
              <w:rFonts w:ascii="宋体" w:hAnsi="宋体"/>
            </w:rPr>
            <w:tab/>
          </w:r>
          <w:r>
            <w:rPr>
              <w:rFonts w:ascii="宋体" w:hAnsi="宋体"/>
            </w:rPr>
            <w:fldChar w:fldCharType="begin"/>
          </w:r>
          <w:r>
            <w:rPr>
              <w:rFonts w:ascii="宋体" w:hAnsi="宋体"/>
            </w:rPr>
            <w:instrText xml:space="preserve"> PAGEREF _Toc219068743 \h </w:instrText>
          </w:r>
          <w:r>
            <w:rPr>
              <w:rFonts w:ascii="宋体" w:hAnsi="宋体"/>
            </w:rPr>
            <w:fldChar w:fldCharType="separate"/>
          </w:r>
          <w:r>
            <w:rPr>
              <w:rFonts w:ascii="宋体" w:hAnsi="宋体"/>
            </w:rPr>
            <w:t>80</w:t>
          </w:r>
          <w:r>
            <w:rPr>
              <w:rFonts w:ascii="宋体" w:hAnsi="宋体"/>
            </w:rPr>
            <w:fldChar w:fldCharType="end"/>
          </w:r>
          <w:r>
            <w:rPr>
              <w:rFonts w:ascii="宋体" w:hAnsi="宋体"/>
            </w:rPr>
            <w:fldChar w:fldCharType="end"/>
          </w:r>
        </w:p>
        <w:p w14:paraId="7F025724">
          <w:pPr>
            <w:pStyle w:val="13"/>
            <w:rPr>
              <w:rFonts w:eastAsiaTheme="minorEastAsia"/>
              <w:sz w:val="21"/>
            </w:rPr>
          </w:pPr>
          <w:r>
            <w:fldChar w:fldCharType="begin"/>
          </w:r>
          <w:r>
            <w:instrText xml:space="preserve"> HYPERLINK \l "_Toc219068744" </w:instrText>
          </w:r>
          <w:r>
            <w:fldChar w:fldCharType="separate"/>
          </w:r>
          <w:r>
            <w:rPr>
              <w:rStyle w:val="25"/>
            </w:rPr>
            <w:t>第一节 繁荣发展社会主义先进文化</w:t>
          </w:r>
          <w:r>
            <w:tab/>
          </w:r>
          <w:r>
            <w:fldChar w:fldCharType="begin"/>
          </w:r>
          <w:r>
            <w:instrText xml:space="preserve"> PAGEREF _Toc219068744 \h </w:instrText>
          </w:r>
          <w:r>
            <w:fldChar w:fldCharType="separate"/>
          </w:r>
          <w:r>
            <w:t>80</w:t>
          </w:r>
          <w:r>
            <w:fldChar w:fldCharType="end"/>
          </w:r>
          <w:r>
            <w:fldChar w:fldCharType="end"/>
          </w:r>
        </w:p>
        <w:p w14:paraId="4E6876A4">
          <w:pPr>
            <w:pStyle w:val="13"/>
            <w:rPr>
              <w:rFonts w:eastAsiaTheme="minorEastAsia"/>
              <w:sz w:val="21"/>
            </w:rPr>
          </w:pPr>
          <w:r>
            <w:fldChar w:fldCharType="begin"/>
          </w:r>
          <w:r>
            <w:instrText xml:space="preserve"> HYPERLINK \l "_Toc219068745" </w:instrText>
          </w:r>
          <w:r>
            <w:fldChar w:fldCharType="separate"/>
          </w:r>
          <w:r>
            <w:rPr>
              <w:rStyle w:val="25"/>
            </w:rPr>
            <w:t>第二节 传承弘扬地区优秀传统文化</w:t>
          </w:r>
          <w:r>
            <w:tab/>
          </w:r>
          <w:r>
            <w:fldChar w:fldCharType="begin"/>
          </w:r>
          <w:r>
            <w:instrText xml:space="preserve"> PAGEREF _Toc219068745 \h </w:instrText>
          </w:r>
          <w:r>
            <w:fldChar w:fldCharType="separate"/>
          </w:r>
          <w:r>
            <w:t>82</w:t>
          </w:r>
          <w:r>
            <w:fldChar w:fldCharType="end"/>
          </w:r>
          <w:r>
            <w:fldChar w:fldCharType="end"/>
          </w:r>
        </w:p>
        <w:p w14:paraId="0C49DBFC">
          <w:pPr>
            <w:pStyle w:val="13"/>
            <w:rPr>
              <w:rFonts w:eastAsiaTheme="minorEastAsia"/>
              <w:sz w:val="21"/>
            </w:rPr>
          </w:pPr>
          <w:r>
            <w:fldChar w:fldCharType="begin"/>
          </w:r>
          <w:r>
            <w:instrText xml:space="preserve"> HYPERLINK \l "_Toc219068746" </w:instrText>
          </w:r>
          <w:r>
            <w:fldChar w:fldCharType="separate"/>
          </w:r>
          <w:r>
            <w:rPr>
              <w:rStyle w:val="25"/>
            </w:rPr>
            <w:t>第三节 着力营造良好文化发展生态</w:t>
          </w:r>
          <w:r>
            <w:tab/>
          </w:r>
          <w:r>
            <w:fldChar w:fldCharType="begin"/>
          </w:r>
          <w:r>
            <w:instrText xml:space="preserve"> PAGEREF _Toc219068746 \h </w:instrText>
          </w:r>
          <w:r>
            <w:fldChar w:fldCharType="separate"/>
          </w:r>
          <w:r>
            <w:t>83</w:t>
          </w:r>
          <w:r>
            <w:fldChar w:fldCharType="end"/>
          </w:r>
          <w:r>
            <w:fldChar w:fldCharType="end"/>
          </w:r>
        </w:p>
        <w:p w14:paraId="6617DE55">
          <w:pPr>
            <w:pStyle w:val="13"/>
            <w:rPr>
              <w:rFonts w:eastAsiaTheme="minorEastAsia"/>
              <w:sz w:val="21"/>
            </w:rPr>
          </w:pPr>
          <w:r>
            <w:fldChar w:fldCharType="begin"/>
          </w:r>
          <w:r>
            <w:instrText xml:space="preserve"> HYPERLINK \l "_Toc219068747" </w:instrText>
          </w:r>
          <w:r>
            <w:fldChar w:fldCharType="separate"/>
          </w:r>
          <w:r>
            <w:rPr>
              <w:rStyle w:val="25"/>
            </w:rPr>
            <w:t>第四节 促进农商文体旅融合发展</w:t>
          </w:r>
          <w:r>
            <w:tab/>
          </w:r>
          <w:r>
            <w:fldChar w:fldCharType="begin"/>
          </w:r>
          <w:r>
            <w:instrText xml:space="preserve"> PAGEREF _Toc219068747 \h </w:instrText>
          </w:r>
          <w:r>
            <w:fldChar w:fldCharType="separate"/>
          </w:r>
          <w:r>
            <w:t>84</w:t>
          </w:r>
          <w:r>
            <w:fldChar w:fldCharType="end"/>
          </w:r>
          <w:r>
            <w:fldChar w:fldCharType="end"/>
          </w:r>
        </w:p>
        <w:p w14:paraId="1F4155ED">
          <w:pPr>
            <w:pStyle w:val="17"/>
            <w:rPr>
              <w:rFonts w:eastAsiaTheme="minorEastAsia"/>
              <w:sz w:val="21"/>
              <w:szCs w:val="22"/>
            </w:rPr>
          </w:pPr>
          <w:r>
            <w:fldChar w:fldCharType="begin"/>
          </w:r>
          <w:r>
            <w:instrText xml:space="preserve"> HYPERLINK \l "_Toc219068748" </w:instrText>
          </w:r>
          <w:r>
            <w:fldChar w:fldCharType="separate"/>
          </w:r>
          <w:r>
            <w:rPr>
              <w:rStyle w:val="25"/>
              <w:rFonts w:cs="方正小标宋简体"/>
              <w:bCs/>
            </w:rPr>
            <w:t>第五篇  加快构建“一核两翼”城市发展格局，加强宜居宜业城市建设，着力补齐民生短板，打造人民安居乐业、幸福生活的“乐享福地”</w:t>
          </w:r>
          <w:r>
            <w:tab/>
          </w:r>
          <w:r>
            <w:fldChar w:fldCharType="begin"/>
          </w:r>
          <w:r>
            <w:instrText xml:space="preserve"> PAGEREF _Toc219068748 \h </w:instrText>
          </w:r>
          <w:r>
            <w:fldChar w:fldCharType="separate"/>
          </w:r>
          <w:r>
            <w:t>88</w:t>
          </w:r>
          <w:r>
            <w:fldChar w:fldCharType="end"/>
          </w:r>
          <w:r>
            <w:fldChar w:fldCharType="end"/>
          </w:r>
        </w:p>
        <w:p w14:paraId="25E0B851">
          <w:pPr>
            <w:pStyle w:val="19"/>
            <w:rPr>
              <w:rFonts w:ascii="宋体" w:hAnsi="宋体" w:eastAsiaTheme="minorEastAsia"/>
              <w:sz w:val="21"/>
              <w:szCs w:val="22"/>
            </w:rPr>
          </w:pPr>
          <w:r>
            <w:fldChar w:fldCharType="begin"/>
          </w:r>
          <w:r>
            <w:instrText xml:space="preserve"> HYPERLINK \l "_Toc219068749" </w:instrText>
          </w:r>
          <w:r>
            <w:fldChar w:fldCharType="separate"/>
          </w:r>
          <w:r>
            <w:rPr>
              <w:rStyle w:val="25"/>
              <w:rFonts w:ascii="宋体" w:hAnsi="宋体"/>
            </w:rPr>
            <w:t>第十二章  践行人民城市理念，全面建设宜居宜业城市</w:t>
          </w:r>
          <w:r>
            <w:rPr>
              <w:rFonts w:ascii="宋体" w:hAnsi="宋体"/>
            </w:rPr>
            <w:tab/>
          </w:r>
          <w:r>
            <w:rPr>
              <w:rFonts w:ascii="宋体" w:hAnsi="宋体"/>
            </w:rPr>
            <w:fldChar w:fldCharType="begin"/>
          </w:r>
          <w:r>
            <w:rPr>
              <w:rFonts w:ascii="宋体" w:hAnsi="宋体"/>
            </w:rPr>
            <w:instrText xml:space="preserve"> PAGEREF _Toc219068749 \h </w:instrText>
          </w:r>
          <w:r>
            <w:rPr>
              <w:rFonts w:ascii="宋体" w:hAnsi="宋体"/>
            </w:rPr>
            <w:fldChar w:fldCharType="separate"/>
          </w:r>
          <w:r>
            <w:rPr>
              <w:rFonts w:ascii="宋体" w:hAnsi="宋体"/>
            </w:rPr>
            <w:t>88</w:t>
          </w:r>
          <w:r>
            <w:rPr>
              <w:rFonts w:ascii="宋体" w:hAnsi="宋体"/>
            </w:rPr>
            <w:fldChar w:fldCharType="end"/>
          </w:r>
          <w:r>
            <w:rPr>
              <w:rFonts w:ascii="宋体" w:hAnsi="宋体"/>
            </w:rPr>
            <w:fldChar w:fldCharType="end"/>
          </w:r>
        </w:p>
        <w:p w14:paraId="3E0CE14D">
          <w:pPr>
            <w:pStyle w:val="13"/>
            <w:rPr>
              <w:rFonts w:eastAsiaTheme="minorEastAsia"/>
              <w:sz w:val="21"/>
            </w:rPr>
          </w:pPr>
          <w:r>
            <w:fldChar w:fldCharType="begin"/>
          </w:r>
          <w:r>
            <w:instrText xml:space="preserve"> HYPERLINK \l "_Toc219068750" </w:instrText>
          </w:r>
          <w:r>
            <w:fldChar w:fldCharType="separate"/>
          </w:r>
          <w:r>
            <w:rPr>
              <w:rStyle w:val="25"/>
            </w:rPr>
            <w:t>第一节 持续提升“一核两翼”发展能级</w:t>
          </w:r>
          <w:r>
            <w:tab/>
          </w:r>
          <w:r>
            <w:fldChar w:fldCharType="begin"/>
          </w:r>
          <w:r>
            <w:instrText xml:space="preserve"> PAGEREF _Toc219068750 \h </w:instrText>
          </w:r>
          <w:r>
            <w:fldChar w:fldCharType="separate"/>
          </w:r>
          <w:r>
            <w:t>88</w:t>
          </w:r>
          <w:r>
            <w:fldChar w:fldCharType="end"/>
          </w:r>
          <w:r>
            <w:fldChar w:fldCharType="end"/>
          </w:r>
        </w:p>
        <w:p w14:paraId="2D6D94C4">
          <w:pPr>
            <w:pStyle w:val="13"/>
            <w:rPr>
              <w:rFonts w:eastAsiaTheme="minorEastAsia"/>
              <w:sz w:val="21"/>
            </w:rPr>
          </w:pPr>
          <w:r>
            <w:fldChar w:fldCharType="begin"/>
          </w:r>
          <w:r>
            <w:instrText xml:space="preserve"> HYPERLINK \l "_Toc219068751" </w:instrText>
          </w:r>
          <w:r>
            <w:fldChar w:fldCharType="separate"/>
          </w:r>
          <w:r>
            <w:rPr>
              <w:rStyle w:val="25"/>
            </w:rPr>
            <w:t>第二节 统筹推进城市更新与盘活存量</w:t>
          </w:r>
          <w:r>
            <w:tab/>
          </w:r>
          <w:r>
            <w:fldChar w:fldCharType="begin"/>
          </w:r>
          <w:r>
            <w:instrText xml:space="preserve"> PAGEREF _Toc219068751 \h </w:instrText>
          </w:r>
          <w:r>
            <w:fldChar w:fldCharType="separate"/>
          </w:r>
          <w:r>
            <w:t>91</w:t>
          </w:r>
          <w:r>
            <w:fldChar w:fldCharType="end"/>
          </w:r>
          <w:r>
            <w:fldChar w:fldCharType="end"/>
          </w:r>
        </w:p>
        <w:p w14:paraId="4F2171E1">
          <w:pPr>
            <w:pStyle w:val="13"/>
            <w:rPr>
              <w:rFonts w:eastAsiaTheme="minorEastAsia"/>
              <w:sz w:val="21"/>
            </w:rPr>
          </w:pPr>
          <w:r>
            <w:fldChar w:fldCharType="begin"/>
          </w:r>
          <w:r>
            <w:instrText xml:space="preserve"> HYPERLINK \l "_Toc219068752" </w:instrText>
          </w:r>
          <w:r>
            <w:fldChar w:fldCharType="separate"/>
          </w:r>
          <w:r>
            <w:rPr>
              <w:rStyle w:val="25"/>
            </w:rPr>
            <w:t>第三节 加强宜居韧性城市建设</w:t>
          </w:r>
          <w:r>
            <w:tab/>
          </w:r>
          <w:r>
            <w:fldChar w:fldCharType="begin"/>
          </w:r>
          <w:r>
            <w:instrText xml:space="preserve"> PAGEREF _Toc219068752 \h </w:instrText>
          </w:r>
          <w:r>
            <w:fldChar w:fldCharType="separate"/>
          </w:r>
          <w:r>
            <w:t>92</w:t>
          </w:r>
          <w:r>
            <w:fldChar w:fldCharType="end"/>
          </w:r>
          <w:r>
            <w:fldChar w:fldCharType="end"/>
          </w:r>
        </w:p>
        <w:p w14:paraId="728E00A2">
          <w:pPr>
            <w:pStyle w:val="13"/>
            <w:rPr>
              <w:rFonts w:eastAsiaTheme="minorEastAsia"/>
              <w:sz w:val="21"/>
            </w:rPr>
          </w:pPr>
          <w:r>
            <w:fldChar w:fldCharType="begin"/>
          </w:r>
          <w:r>
            <w:instrText xml:space="preserve"> HYPERLINK \l "_Toc219068753" </w:instrText>
          </w:r>
          <w:r>
            <w:fldChar w:fldCharType="separate"/>
          </w:r>
          <w:r>
            <w:rPr>
              <w:rStyle w:val="25"/>
            </w:rPr>
            <w:t xml:space="preserve">第四节 </w:t>
          </w:r>
          <w:r>
            <w:rPr>
              <w:rStyle w:val="25"/>
              <w:bCs/>
            </w:rPr>
            <w:t>持续推进强街强镇建设</w:t>
          </w:r>
          <w:r>
            <w:tab/>
          </w:r>
          <w:r>
            <w:fldChar w:fldCharType="begin"/>
          </w:r>
          <w:r>
            <w:instrText xml:space="preserve"> PAGEREF _Toc219068753 \h </w:instrText>
          </w:r>
          <w:r>
            <w:fldChar w:fldCharType="separate"/>
          </w:r>
          <w:r>
            <w:t>95</w:t>
          </w:r>
          <w:r>
            <w:fldChar w:fldCharType="end"/>
          </w:r>
          <w:r>
            <w:fldChar w:fldCharType="end"/>
          </w:r>
        </w:p>
        <w:p w14:paraId="4B13D3A8">
          <w:pPr>
            <w:pStyle w:val="19"/>
            <w:rPr>
              <w:rFonts w:ascii="宋体" w:hAnsi="宋体" w:eastAsiaTheme="minorEastAsia"/>
              <w:sz w:val="21"/>
              <w:szCs w:val="22"/>
            </w:rPr>
          </w:pPr>
          <w:r>
            <w:fldChar w:fldCharType="begin"/>
          </w:r>
          <w:r>
            <w:instrText xml:space="preserve"> HYPERLINK \l "_Toc219068754" </w:instrText>
          </w:r>
          <w:r>
            <w:fldChar w:fldCharType="separate"/>
          </w:r>
          <w:r>
            <w:rPr>
              <w:rStyle w:val="25"/>
              <w:rFonts w:ascii="宋体" w:hAnsi="宋体"/>
            </w:rPr>
            <w:t>第十三章  着力提高人民生活品质，扎实推进共同富裕</w:t>
          </w:r>
          <w:r>
            <w:rPr>
              <w:rFonts w:ascii="宋体" w:hAnsi="宋体"/>
            </w:rPr>
            <w:tab/>
          </w:r>
          <w:r>
            <w:rPr>
              <w:rFonts w:ascii="宋体" w:hAnsi="宋体"/>
            </w:rPr>
            <w:fldChar w:fldCharType="begin"/>
          </w:r>
          <w:r>
            <w:rPr>
              <w:rFonts w:ascii="宋体" w:hAnsi="宋体"/>
            </w:rPr>
            <w:instrText xml:space="preserve"> PAGEREF _Toc219068754 \h </w:instrText>
          </w:r>
          <w:r>
            <w:rPr>
              <w:rFonts w:ascii="宋体" w:hAnsi="宋体"/>
            </w:rPr>
            <w:fldChar w:fldCharType="separate"/>
          </w:r>
          <w:r>
            <w:rPr>
              <w:rFonts w:ascii="宋体" w:hAnsi="宋体"/>
            </w:rPr>
            <w:t>98</w:t>
          </w:r>
          <w:r>
            <w:rPr>
              <w:rFonts w:ascii="宋体" w:hAnsi="宋体"/>
            </w:rPr>
            <w:fldChar w:fldCharType="end"/>
          </w:r>
          <w:r>
            <w:rPr>
              <w:rFonts w:ascii="宋体" w:hAnsi="宋体"/>
            </w:rPr>
            <w:fldChar w:fldCharType="end"/>
          </w:r>
        </w:p>
        <w:p w14:paraId="301D1EA1">
          <w:pPr>
            <w:pStyle w:val="13"/>
            <w:rPr>
              <w:rFonts w:eastAsiaTheme="minorEastAsia"/>
              <w:sz w:val="21"/>
            </w:rPr>
          </w:pPr>
          <w:r>
            <w:fldChar w:fldCharType="begin"/>
          </w:r>
          <w:r>
            <w:instrText xml:space="preserve"> HYPERLINK \l "_Toc219068755" </w:instrText>
          </w:r>
          <w:r>
            <w:fldChar w:fldCharType="separate"/>
          </w:r>
          <w:r>
            <w:rPr>
              <w:rStyle w:val="25"/>
            </w:rPr>
            <w:t>第一节 推动实施扩就业促增收</w:t>
          </w:r>
          <w:r>
            <w:tab/>
          </w:r>
          <w:r>
            <w:fldChar w:fldCharType="begin"/>
          </w:r>
          <w:r>
            <w:instrText xml:space="preserve"> PAGEREF _Toc219068755 \h </w:instrText>
          </w:r>
          <w:r>
            <w:fldChar w:fldCharType="separate"/>
          </w:r>
          <w:r>
            <w:t>98</w:t>
          </w:r>
          <w:r>
            <w:fldChar w:fldCharType="end"/>
          </w:r>
          <w:r>
            <w:fldChar w:fldCharType="end"/>
          </w:r>
        </w:p>
        <w:p w14:paraId="44A03EEF">
          <w:pPr>
            <w:pStyle w:val="13"/>
            <w:rPr>
              <w:rFonts w:eastAsiaTheme="minorEastAsia"/>
              <w:sz w:val="21"/>
            </w:rPr>
          </w:pPr>
          <w:r>
            <w:fldChar w:fldCharType="begin"/>
          </w:r>
          <w:r>
            <w:instrText xml:space="preserve"> HYPERLINK \l "_Toc219068756" </w:instrText>
          </w:r>
          <w:r>
            <w:fldChar w:fldCharType="separate"/>
          </w:r>
          <w:r>
            <w:rPr>
              <w:rStyle w:val="25"/>
            </w:rPr>
            <w:t>第二节 推进教育更高质量发展</w:t>
          </w:r>
          <w:r>
            <w:tab/>
          </w:r>
          <w:r>
            <w:fldChar w:fldCharType="begin"/>
          </w:r>
          <w:r>
            <w:instrText xml:space="preserve"> PAGEREF _Toc219068756 \h </w:instrText>
          </w:r>
          <w:r>
            <w:fldChar w:fldCharType="separate"/>
          </w:r>
          <w:r>
            <w:t>101</w:t>
          </w:r>
          <w:r>
            <w:fldChar w:fldCharType="end"/>
          </w:r>
          <w:r>
            <w:fldChar w:fldCharType="end"/>
          </w:r>
        </w:p>
        <w:p w14:paraId="1C8F6253">
          <w:pPr>
            <w:pStyle w:val="13"/>
            <w:rPr>
              <w:rFonts w:eastAsiaTheme="minorEastAsia"/>
              <w:sz w:val="21"/>
            </w:rPr>
          </w:pPr>
          <w:r>
            <w:fldChar w:fldCharType="begin"/>
          </w:r>
          <w:r>
            <w:instrText xml:space="preserve"> HYPERLINK \l "_Toc219068757" </w:instrText>
          </w:r>
          <w:r>
            <w:fldChar w:fldCharType="separate"/>
          </w:r>
          <w:r>
            <w:rPr>
              <w:rStyle w:val="25"/>
            </w:rPr>
            <w:t>第三节 加强社会保障体系建设</w:t>
          </w:r>
          <w:r>
            <w:tab/>
          </w:r>
          <w:r>
            <w:fldChar w:fldCharType="begin"/>
          </w:r>
          <w:r>
            <w:instrText xml:space="preserve"> PAGEREF _Toc219068757 \h </w:instrText>
          </w:r>
          <w:r>
            <w:fldChar w:fldCharType="separate"/>
          </w:r>
          <w:r>
            <w:t>103</w:t>
          </w:r>
          <w:r>
            <w:fldChar w:fldCharType="end"/>
          </w:r>
          <w:r>
            <w:fldChar w:fldCharType="end"/>
          </w:r>
        </w:p>
        <w:p w14:paraId="532AE96A">
          <w:pPr>
            <w:pStyle w:val="13"/>
            <w:rPr>
              <w:rFonts w:eastAsiaTheme="minorEastAsia"/>
              <w:sz w:val="21"/>
            </w:rPr>
          </w:pPr>
          <w:r>
            <w:fldChar w:fldCharType="begin"/>
          </w:r>
          <w:r>
            <w:instrText xml:space="preserve"> HYPERLINK \l "_Toc219068758" </w:instrText>
          </w:r>
          <w:r>
            <w:fldChar w:fldCharType="separate"/>
          </w:r>
          <w:r>
            <w:rPr>
              <w:rStyle w:val="25"/>
            </w:rPr>
            <w:t>第四节 提升医疗健康服务能级</w:t>
          </w:r>
          <w:r>
            <w:tab/>
          </w:r>
          <w:r>
            <w:fldChar w:fldCharType="begin"/>
          </w:r>
          <w:r>
            <w:instrText xml:space="preserve"> PAGEREF _Toc219068758 \h </w:instrText>
          </w:r>
          <w:r>
            <w:fldChar w:fldCharType="separate"/>
          </w:r>
          <w:r>
            <w:t>106</w:t>
          </w:r>
          <w:r>
            <w:fldChar w:fldCharType="end"/>
          </w:r>
          <w:r>
            <w:fldChar w:fldCharType="end"/>
          </w:r>
        </w:p>
        <w:p w14:paraId="1097DCD8">
          <w:pPr>
            <w:pStyle w:val="19"/>
            <w:rPr>
              <w:rFonts w:ascii="宋体" w:hAnsi="宋体" w:eastAsiaTheme="minorEastAsia"/>
              <w:sz w:val="21"/>
              <w:szCs w:val="22"/>
            </w:rPr>
          </w:pPr>
          <w:r>
            <w:fldChar w:fldCharType="begin"/>
          </w:r>
          <w:r>
            <w:instrText xml:space="preserve"> HYPERLINK \l "_Toc219068759" </w:instrText>
          </w:r>
          <w:r>
            <w:fldChar w:fldCharType="separate"/>
          </w:r>
          <w:r>
            <w:rPr>
              <w:rStyle w:val="25"/>
              <w:rFonts w:ascii="宋体" w:hAnsi="宋体"/>
            </w:rPr>
            <w:t>第十四章  加快推进社会治理现代化，建设更高水平的平安宝坻</w:t>
          </w:r>
          <w:r>
            <w:rPr>
              <w:rFonts w:ascii="宋体" w:hAnsi="宋体"/>
            </w:rPr>
            <w:tab/>
          </w:r>
          <w:r>
            <w:rPr>
              <w:rFonts w:ascii="宋体" w:hAnsi="宋体"/>
            </w:rPr>
            <w:fldChar w:fldCharType="begin"/>
          </w:r>
          <w:r>
            <w:rPr>
              <w:rFonts w:ascii="宋体" w:hAnsi="宋体"/>
            </w:rPr>
            <w:instrText xml:space="preserve"> PAGEREF _Toc219068759 \h </w:instrText>
          </w:r>
          <w:r>
            <w:rPr>
              <w:rFonts w:ascii="宋体" w:hAnsi="宋体"/>
            </w:rPr>
            <w:fldChar w:fldCharType="separate"/>
          </w:r>
          <w:r>
            <w:rPr>
              <w:rFonts w:ascii="宋体" w:hAnsi="宋体"/>
            </w:rPr>
            <w:t>110</w:t>
          </w:r>
          <w:r>
            <w:rPr>
              <w:rFonts w:ascii="宋体" w:hAnsi="宋体"/>
            </w:rPr>
            <w:fldChar w:fldCharType="end"/>
          </w:r>
          <w:r>
            <w:rPr>
              <w:rFonts w:ascii="宋体" w:hAnsi="宋体"/>
            </w:rPr>
            <w:fldChar w:fldCharType="end"/>
          </w:r>
        </w:p>
        <w:p w14:paraId="473C8C82">
          <w:pPr>
            <w:pStyle w:val="13"/>
            <w:rPr>
              <w:rFonts w:eastAsiaTheme="minorEastAsia"/>
              <w:sz w:val="21"/>
            </w:rPr>
          </w:pPr>
          <w:r>
            <w:fldChar w:fldCharType="begin"/>
          </w:r>
          <w:r>
            <w:instrText xml:space="preserve"> HYPERLINK \l "_Toc219068760" </w:instrText>
          </w:r>
          <w:r>
            <w:fldChar w:fldCharType="separate"/>
          </w:r>
          <w:r>
            <w:rPr>
              <w:rStyle w:val="25"/>
            </w:rPr>
            <w:t>第一节 深化平安宝坻建设</w:t>
          </w:r>
          <w:r>
            <w:tab/>
          </w:r>
          <w:r>
            <w:fldChar w:fldCharType="begin"/>
          </w:r>
          <w:r>
            <w:instrText xml:space="preserve"> PAGEREF _Toc219068760 \h </w:instrText>
          </w:r>
          <w:r>
            <w:fldChar w:fldCharType="separate"/>
          </w:r>
          <w:r>
            <w:t>110</w:t>
          </w:r>
          <w:r>
            <w:fldChar w:fldCharType="end"/>
          </w:r>
          <w:r>
            <w:fldChar w:fldCharType="end"/>
          </w:r>
        </w:p>
        <w:p w14:paraId="2BB97E5D">
          <w:pPr>
            <w:pStyle w:val="13"/>
            <w:rPr>
              <w:rFonts w:eastAsiaTheme="minorEastAsia"/>
              <w:sz w:val="21"/>
            </w:rPr>
          </w:pPr>
          <w:r>
            <w:fldChar w:fldCharType="begin"/>
          </w:r>
          <w:r>
            <w:instrText xml:space="preserve"> HYPERLINK \l "_Toc219068761" </w:instrText>
          </w:r>
          <w:r>
            <w:fldChar w:fldCharType="separate"/>
          </w:r>
          <w:r>
            <w:rPr>
              <w:rStyle w:val="25"/>
            </w:rPr>
            <w:t>第二节 深入夯实法治建设根基</w:t>
          </w:r>
          <w:r>
            <w:tab/>
          </w:r>
          <w:r>
            <w:fldChar w:fldCharType="begin"/>
          </w:r>
          <w:r>
            <w:instrText xml:space="preserve"> PAGEREF _Toc219068761 \h </w:instrText>
          </w:r>
          <w:r>
            <w:fldChar w:fldCharType="separate"/>
          </w:r>
          <w:r>
            <w:t>114</w:t>
          </w:r>
          <w:r>
            <w:fldChar w:fldCharType="end"/>
          </w:r>
          <w:r>
            <w:fldChar w:fldCharType="end"/>
          </w:r>
        </w:p>
        <w:p w14:paraId="0E1C3408">
          <w:pPr>
            <w:pStyle w:val="13"/>
            <w:rPr>
              <w:rFonts w:eastAsiaTheme="minorEastAsia"/>
              <w:sz w:val="21"/>
            </w:rPr>
          </w:pPr>
          <w:r>
            <w:fldChar w:fldCharType="begin"/>
          </w:r>
          <w:r>
            <w:instrText xml:space="preserve"> HYPERLINK \l "_Toc219068762" </w:instrText>
          </w:r>
          <w:r>
            <w:fldChar w:fldCharType="separate"/>
          </w:r>
          <w:r>
            <w:rPr>
              <w:rStyle w:val="25"/>
            </w:rPr>
            <w:t>第三节 持续完善社会治理体系</w:t>
          </w:r>
          <w:r>
            <w:tab/>
          </w:r>
          <w:r>
            <w:fldChar w:fldCharType="begin"/>
          </w:r>
          <w:r>
            <w:instrText xml:space="preserve"> PAGEREF _Toc219068762 \h </w:instrText>
          </w:r>
          <w:r>
            <w:fldChar w:fldCharType="separate"/>
          </w:r>
          <w:r>
            <w:t>117</w:t>
          </w:r>
          <w:r>
            <w:fldChar w:fldCharType="end"/>
          </w:r>
          <w:r>
            <w:fldChar w:fldCharType="end"/>
          </w:r>
        </w:p>
        <w:p w14:paraId="76C9565B">
          <w:pPr>
            <w:pStyle w:val="17"/>
            <w:rPr>
              <w:rFonts w:eastAsiaTheme="minorEastAsia"/>
              <w:sz w:val="21"/>
              <w:szCs w:val="22"/>
            </w:rPr>
          </w:pPr>
          <w:r>
            <w:fldChar w:fldCharType="begin"/>
          </w:r>
          <w:r>
            <w:instrText xml:space="preserve"> HYPERLINK \l "_Toc219068763" </w:instrText>
          </w:r>
          <w:r>
            <w:fldChar w:fldCharType="separate"/>
          </w:r>
          <w:r>
            <w:rPr>
              <w:rStyle w:val="25"/>
              <w:rFonts w:cs="方正小标宋简体"/>
            </w:rPr>
            <w:t>第六篇  凝心聚力推动高质量发展，为全面实现“十五五”规划而奋斗</w:t>
          </w:r>
          <w:r>
            <w:tab/>
          </w:r>
          <w:r>
            <w:fldChar w:fldCharType="begin"/>
          </w:r>
          <w:r>
            <w:instrText xml:space="preserve"> PAGEREF _Toc219068763 \h </w:instrText>
          </w:r>
          <w:r>
            <w:fldChar w:fldCharType="separate"/>
          </w:r>
          <w:r>
            <w:t>119</w:t>
          </w:r>
          <w:r>
            <w:fldChar w:fldCharType="end"/>
          </w:r>
          <w:r>
            <w:fldChar w:fldCharType="end"/>
          </w:r>
        </w:p>
        <w:p w14:paraId="34FB1ED7">
          <w:pPr>
            <w:pStyle w:val="19"/>
            <w:rPr>
              <w:rFonts w:ascii="宋体" w:hAnsi="宋体" w:eastAsiaTheme="minorEastAsia"/>
              <w:sz w:val="21"/>
              <w:szCs w:val="22"/>
            </w:rPr>
          </w:pPr>
          <w:r>
            <w:fldChar w:fldCharType="begin"/>
          </w:r>
          <w:r>
            <w:instrText xml:space="preserve"> HYPERLINK \l "_Toc219068764" </w:instrText>
          </w:r>
          <w:r>
            <w:fldChar w:fldCharType="separate"/>
          </w:r>
          <w:r>
            <w:rPr>
              <w:rStyle w:val="25"/>
              <w:rFonts w:ascii="宋体" w:hAnsi="宋体"/>
            </w:rPr>
            <w:t>第十五章  发挥党建引领作用，健全规划实施保障</w:t>
          </w:r>
          <w:r>
            <w:rPr>
              <w:rFonts w:ascii="宋体" w:hAnsi="宋体"/>
            </w:rPr>
            <w:tab/>
          </w:r>
          <w:r>
            <w:rPr>
              <w:rFonts w:ascii="宋体" w:hAnsi="宋体"/>
            </w:rPr>
            <w:fldChar w:fldCharType="begin"/>
          </w:r>
          <w:r>
            <w:rPr>
              <w:rFonts w:ascii="宋体" w:hAnsi="宋体"/>
            </w:rPr>
            <w:instrText xml:space="preserve"> PAGEREF _Toc219068764 \h </w:instrText>
          </w:r>
          <w:r>
            <w:rPr>
              <w:rFonts w:ascii="宋体" w:hAnsi="宋体"/>
            </w:rPr>
            <w:fldChar w:fldCharType="separate"/>
          </w:r>
          <w:r>
            <w:rPr>
              <w:rFonts w:ascii="宋体" w:hAnsi="宋体"/>
            </w:rPr>
            <w:t>119</w:t>
          </w:r>
          <w:r>
            <w:rPr>
              <w:rFonts w:ascii="宋体" w:hAnsi="宋体"/>
            </w:rPr>
            <w:fldChar w:fldCharType="end"/>
          </w:r>
          <w:r>
            <w:rPr>
              <w:rFonts w:ascii="宋体" w:hAnsi="宋体"/>
            </w:rPr>
            <w:fldChar w:fldCharType="end"/>
          </w:r>
        </w:p>
        <w:p w14:paraId="1AABA5E3">
          <w:pPr>
            <w:pStyle w:val="13"/>
            <w:rPr>
              <w:rFonts w:eastAsiaTheme="minorEastAsia"/>
              <w:sz w:val="21"/>
            </w:rPr>
          </w:pPr>
          <w:r>
            <w:fldChar w:fldCharType="begin"/>
          </w:r>
          <w:r>
            <w:instrText xml:space="preserve"> HYPERLINK \l "_Toc219068765" </w:instrText>
          </w:r>
          <w:r>
            <w:fldChar w:fldCharType="separate"/>
          </w:r>
          <w:r>
            <w:rPr>
              <w:rStyle w:val="25"/>
            </w:rPr>
            <w:t>第一节 坚持和加强党的全面领导</w:t>
          </w:r>
          <w:r>
            <w:tab/>
          </w:r>
          <w:r>
            <w:fldChar w:fldCharType="begin"/>
          </w:r>
          <w:r>
            <w:instrText xml:space="preserve"> PAGEREF _Toc219068765 \h </w:instrText>
          </w:r>
          <w:r>
            <w:fldChar w:fldCharType="separate"/>
          </w:r>
          <w:r>
            <w:t>119</w:t>
          </w:r>
          <w:r>
            <w:fldChar w:fldCharType="end"/>
          </w:r>
          <w:r>
            <w:fldChar w:fldCharType="end"/>
          </w:r>
        </w:p>
        <w:p w14:paraId="7A4A1BC8">
          <w:pPr>
            <w:pStyle w:val="13"/>
            <w:rPr>
              <w:rFonts w:eastAsiaTheme="minorEastAsia"/>
              <w:sz w:val="21"/>
            </w:rPr>
          </w:pPr>
          <w:r>
            <w:fldChar w:fldCharType="begin"/>
          </w:r>
          <w:r>
            <w:instrText xml:space="preserve"> HYPERLINK \l "_Toc219068766" </w:instrText>
          </w:r>
          <w:r>
            <w:fldChar w:fldCharType="separate"/>
          </w:r>
          <w:r>
            <w:rPr>
              <w:rStyle w:val="25"/>
            </w:rPr>
            <w:t>第二节 发挥规划战略导向作用</w:t>
          </w:r>
          <w:r>
            <w:tab/>
          </w:r>
          <w:r>
            <w:fldChar w:fldCharType="begin"/>
          </w:r>
          <w:r>
            <w:instrText xml:space="preserve"> PAGEREF _Toc219068766 \h </w:instrText>
          </w:r>
          <w:r>
            <w:fldChar w:fldCharType="separate"/>
          </w:r>
          <w:r>
            <w:t>120</w:t>
          </w:r>
          <w:r>
            <w:fldChar w:fldCharType="end"/>
          </w:r>
          <w:r>
            <w:fldChar w:fldCharType="end"/>
          </w:r>
        </w:p>
        <w:p w14:paraId="0C4A485F">
          <w:pPr>
            <w:pStyle w:val="13"/>
            <w:rPr>
              <w:rFonts w:eastAsiaTheme="minorEastAsia"/>
              <w:sz w:val="21"/>
            </w:rPr>
          </w:pPr>
          <w:r>
            <w:fldChar w:fldCharType="begin"/>
          </w:r>
          <w:r>
            <w:instrText xml:space="preserve"> HYPERLINK \l "_Toc219068767" </w:instrText>
          </w:r>
          <w:r>
            <w:fldChar w:fldCharType="separate"/>
          </w:r>
          <w:r>
            <w:rPr>
              <w:rStyle w:val="25"/>
            </w:rPr>
            <w:t>第三节 加强要素资源支撑保障</w:t>
          </w:r>
          <w:r>
            <w:tab/>
          </w:r>
          <w:r>
            <w:fldChar w:fldCharType="begin"/>
          </w:r>
          <w:r>
            <w:instrText xml:space="preserve"> PAGEREF _Toc219068767 \h </w:instrText>
          </w:r>
          <w:r>
            <w:fldChar w:fldCharType="separate"/>
          </w:r>
          <w:r>
            <w:t>120</w:t>
          </w:r>
          <w:r>
            <w:fldChar w:fldCharType="end"/>
          </w:r>
          <w:r>
            <w:fldChar w:fldCharType="end"/>
          </w:r>
        </w:p>
        <w:p w14:paraId="3C597CF2">
          <w:pPr>
            <w:pStyle w:val="13"/>
            <w:rPr>
              <w:rFonts w:asciiTheme="minorHAnsi" w:hAnsiTheme="minorHAnsi" w:eastAsiaTheme="minorEastAsia"/>
              <w:sz w:val="21"/>
            </w:rPr>
          </w:pPr>
          <w:r>
            <w:fldChar w:fldCharType="begin"/>
          </w:r>
          <w:r>
            <w:instrText xml:space="preserve"> HYPERLINK \l "_Toc219068768" </w:instrText>
          </w:r>
          <w:r>
            <w:fldChar w:fldCharType="separate"/>
          </w:r>
          <w:r>
            <w:rPr>
              <w:rStyle w:val="25"/>
              <w:bCs/>
            </w:rPr>
            <w:t>第四节 完善规划实施机制</w:t>
          </w:r>
          <w:r>
            <w:tab/>
          </w:r>
          <w:r>
            <w:fldChar w:fldCharType="begin"/>
          </w:r>
          <w:r>
            <w:instrText xml:space="preserve"> PAGEREF _Toc219068768 \h </w:instrText>
          </w:r>
          <w:r>
            <w:fldChar w:fldCharType="separate"/>
          </w:r>
          <w:r>
            <w:t>120</w:t>
          </w:r>
          <w:r>
            <w:fldChar w:fldCharType="end"/>
          </w:r>
          <w:r>
            <w:fldChar w:fldCharType="end"/>
          </w:r>
        </w:p>
        <w:p w14:paraId="69246667">
          <w:pPr>
            <w:ind w:firstLine="0" w:firstLineChars="0"/>
            <w:rPr>
              <w:rFonts w:eastAsia="楷体"/>
              <w:sz w:val="28"/>
              <w:szCs w:val="28"/>
            </w:rPr>
          </w:pPr>
          <w:r>
            <w:rPr>
              <w:rFonts w:eastAsia="楷体"/>
              <w:bCs/>
              <w:szCs w:val="28"/>
              <w:lang w:val="zh-CN"/>
            </w:rPr>
            <w:fldChar w:fldCharType="end"/>
          </w:r>
        </w:p>
      </w:sdtContent>
    </w:sdt>
    <w:p w14:paraId="26EBF92E">
      <w:pPr>
        <w:ind w:firstLine="640"/>
        <w:sectPr>
          <w:footerReference r:id="rId11" w:type="default"/>
          <w:footerReference r:id="rId12" w:type="even"/>
          <w:pgSz w:w="11906" w:h="16838"/>
          <w:pgMar w:top="2098" w:right="1474" w:bottom="1984" w:left="1587" w:header="851" w:footer="992" w:gutter="0"/>
          <w:cols w:space="425" w:num="1"/>
          <w:docGrid w:type="lines" w:linePitch="312" w:charSpace="0"/>
        </w:sectPr>
      </w:pPr>
    </w:p>
    <w:p w14:paraId="47E1BDD1">
      <w:pPr>
        <w:pStyle w:val="2"/>
        <w:spacing w:after="435"/>
        <w:ind w:left="800" w:leftChars="250" w:right="800" w:rightChars="250"/>
        <w:rPr>
          <w:rStyle w:val="24"/>
          <w:rFonts w:ascii="宋体" w:hAnsi="宋体"/>
          <w:b w:val="0"/>
          <w:bCs w:val="0"/>
        </w:rPr>
      </w:pPr>
      <w:bookmarkStart w:id="0" w:name="_Toc219068696"/>
      <w:r>
        <w:rPr>
          <w:rStyle w:val="24"/>
          <w:rFonts w:hint="eastAsia" w:ascii="宋体" w:hAnsi="宋体"/>
          <w:b w:val="0"/>
          <w:bCs w:val="0"/>
        </w:rPr>
        <w:t>第一篇</w:t>
      </w:r>
      <w:r>
        <w:rPr>
          <w:rStyle w:val="24"/>
          <w:rFonts w:ascii="宋体" w:hAnsi="宋体"/>
          <w:b w:val="0"/>
          <w:bCs w:val="0"/>
        </w:rPr>
        <w:t xml:space="preserve">  奋力开启新征程，全面建设社会主义现代化新宝坻</w:t>
      </w:r>
      <w:bookmarkEnd w:id="0"/>
    </w:p>
    <w:p w14:paraId="026D4347">
      <w:pPr>
        <w:pStyle w:val="3"/>
        <w:spacing w:before="435" w:after="435"/>
        <w:ind w:left="160" w:leftChars="50" w:right="160" w:rightChars="50"/>
        <w:rPr>
          <w:rFonts w:ascii="宋体" w:hAnsi="宋体"/>
        </w:rPr>
      </w:pPr>
      <w:bookmarkStart w:id="1" w:name="_Toc219068697"/>
      <w:r>
        <w:rPr>
          <w:rFonts w:hint="eastAsia" w:ascii="宋体" w:hAnsi="宋体"/>
        </w:rPr>
        <w:t>第一章</w:t>
      </w:r>
      <w:r>
        <w:rPr>
          <w:rFonts w:ascii="宋体" w:hAnsi="宋体"/>
        </w:rPr>
        <w:t xml:space="preserve"> </w:t>
      </w:r>
      <w:r>
        <w:rPr>
          <w:rFonts w:hint="eastAsia" w:ascii="宋体" w:hAnsi="宋体"/>
        </w:rPr>
        <w:t>“十四五”时期取得的显著成效和“十五五”时期面临的机遇挑战</w:t>
      </w:r>
      <w:bookmarkEnd w:id="1"/>
    </w:p>
    <w:p w14:paraId="3A9F4662">
      <w:pPr>
        <w:pStyle w:val="4"/>
        <w:spacing w:before="217" w:after="217"/>
        <w:rPr>
          <w:rFonts w:ascii="宋体" w:hAnsi="宋体"/>
        </w:rPr>
      </w:pPr>
      <w:bookmarkStart w:id="2" w:name="_Toc219068698"/>
      <w:r>
        <w:rPr>
          <w:rFonts w:hint="eastAsia" w:ascii="宋体" w:hAnsi="宋体"/>
        </w:rPr>
        <w:t>第一节 “十四五”时期宝坻经济社会发展取得显著成效</w:t>
      </w:r>
      <w:bookmarkEnd w:id="2"/>
    </w:p>
    <w:p w14:paraId="3FDB7A43">
      <w:pPr>
        <w:ind w:firstLine="640"/>
      </w:pPr>
      <w:r>
        <w:rPr>
          <w:rFonts w:hint="eastAsia"/>
        </w:rPr>
        <w:t>“十四五”时期，宝坻区坚持以习近平新时代中国特色社会主义思想为指导，深入学习贯彻党的二十大和二十届历次全会精神，把学习贯彻习近平总书记视察天津重要讲话精神和对天津工作一系列重要指示要求作为工作主线，坚决贯彻落实党中央决策部署和市委工作要求，攻坚克难、奋发进取，经受住新冠肺炎疫情严重冲击和历史罕见洪水严峻考验，坚持龙头带动、规划牵动、创新驱动、项目拉动、资源撬动、统筹推动，深化全区10个重点工作专项推动组机制运用，统筹推进科技创新、产业焕新、城市更新，有效盘活存量、做优增量、提升质量，全区融入京津冀协同发展战略成效显著，经济发展稳中有进，创新动能不断积蓄，改革动力持续释放，现代城市加快建设，民生工程接续推进，社会主义现代化新宝坻实践迈出新的坚实步伐。</w:t>
      </w:r>
    </w:p>
    <w:p w14:paraId="4B77CFD9">
      <w:pPr>
        <w:ind w:firstLine="640"/>
      </w:pPr>
      <w:r>
        <w:rPr>
          <w:rFonts w:hint="eastAsia" w:eastAsia="楷体" w:cs="楷体"/>
          <w:bCs/>
          <w:szCs w:val="32"/>
        </w:rPr>
        <w:t>京津冀协同发展走深走实。</w:t>
      </w:r>
      <w:r>
        <w:rPr>
          <w:rFonts w:hint="eastAsia"/>
        </w:rPr>
        <w:t>京津中关村科技城提速升级，一期开发全面完成，京津两市市级层面会商协调机制、“十大服务平台”、市区两级政策体系高效运转，与中关村发展集团有序推进新一轮增资，局部区域被纳入天开高教科创园“一核两翼多点”空间发展布局，市场主体累计突破2000家。聚焦市场化疏解非首都功能资源和完善区域产业配套体系，引进实体项目超过2</w:t>
      </w:r>
      <w:r>
        <w:t>00</w:t>
      </w:r>
      <w:r>
        <w:rPr>
          <w:rFonts w:hint="eastAsia"/>
        </w:rPr>
        <w:t>个，承接北京方向购地型项目中国家高新技术企业占比近8</w:t>
      </w:r>
      <w:r>
        <w:t>5%</w:t>
      </w:r>
      <w:r>
        <w:rPr>
          <w:rFonts w:hint="eastAsia"/>
        </w:rPr>
        <w:t>，一批行业龙头项目签约落地。京唐、京滨城际铁路开通运营，全市首条智能网联公交示范线路开通，京津交通节点作用进一步增强。“京东黄金走廊”建设务实推进，与通州、唐山、北三县及周边区域合作对接更加密切。</w:t>
      </w:r>
    </w:p>
    <w:p w14:paraId="2E6A3C66">
      <w:pPr>
        <w:ind w:firstLine="640"/>
      </w:pPr>
      <w:r>
        <w:rPr>
          <w:rFonts w:hint="eastAsia" w:eastAsia="楷体" w:cs="楷体"/>
          <w:bCs/>
          <w:szCs w:val="32"/>
        </w:rPr>
        <w:t>现代化产业体系向新发展。</w:t>
      </w:r>
      <w:r>
        <w:rPr>
          <w:rFonts w:hint="eastAsia"/>
        </w:rPr>
        <w:t>深入实施创新驱动发展战略，全区经济运行稳中向好，“京津研发、区域转化”实践路径快速打通，“科技副总”项目首创实施，创新实力不断提升。新质生产力加快培育，动力电池、智能装备、汽车配件3条重点产业链加速壮大，新能源、数字经济等产业加快发展，累计引入优质产业项目超过3</w:t>
      </w:r>
      <w:r>
        <w:t>00</w:t>
      </w:r>
      <w:r>
        <w:rPr>
          <w:rFonts w:hint="eastAsia"/>
        </w:rPr>
        <w:t>个，产业链供应链大会品牌影响力连年攀升，智能装备产业集群产值突破百亿，动力电池产业跻身国家级中小企业特色产业集群，九园新一代动力电池主题园区获评国家级火炬产业基地。现代服务业提档升级，获评全国第三批城市一刻钟便民生活圈试点城市。</w:t>
      </w:r>
    </w:p>
    <w:p w14:paraId="255AC9BD">
      <w:pPr>
        <w:ind w:firstLine="640"/>
      </w:pPr>
      <w:r>
        <w:rPr>
          <w:rFonts w:hint="eastAsia" w:eastAsia="楷体" w:cs="楷体"/>
          <w:bCs/>
          <w:szCs w:val="32"/>
        </w:rPr>
        <w:t>改革开放活力加速释放。</w:t>
      </w:r>
      <w:r>
        <w:rPr>
          <w:rFonts w:hint="eastAsia"/>
          <w:bCs/>
        </w:rPr>
        <w:t>党政机构改革全面完成，</w:t>
      </w:r>
      <w:r>
        <w:rPr>
          <w:rFonts w:hint="eastAsia"/>
        </w:rPr>
        <w:t>重点领域改革深入推进，国企改革三年行动圆满完成，经济开发区管理体制改革、农村集体产权制度改革进一步深化。宝坻户籍新政创新实施，“5·2</w:t>
      </w:r>
      <w:r>
        <w:t>0</w:t>
      </w:r>
      <w:r>
        <w:rPr>
          <w:rFonts w:hint="eastAsia"/>
        </w:rPr>
        <w:t>”成为宝坻法定人才日。</w:t>
      </w:r>
      <w:r>
        <w:rPr>
          <w:rFonts w:hint="eastAsia" w:cs="仿宋_GB2312"/>
          <w:szCs w:val="32"/>
        </w:rPr>
        <w:t>出台优化营商环境十二条措施，升级“6</w:t>
      </w:r>
      <w:r>
        <w:rPr>
          <w:rFonts w:cs="仿宋_GB2312"/>
          <w:szCs w:val="32"/>
        </w:rPr>
        <w:t>54</w:t>
      </w:r>
      <w:r>
        <w:rPr>
          <w:rFonts w:hint="eastAsia" w:cs="仿宋_GB2312"/>
          <w:szCs w:val="32"/>
        </w:rPr>
        <w:t>”陪跑机制，</w:t>
      </w:r>
      <w:r>
        <w:rPr>
          <w:rFonts w:hint="eastAsia"/>
        </w:rPr>
        <w:t>营商环境全面优化</w:t>
      </w:r>
      <w:r>
        <w:rPr>
          <w:rFonts w:hint="eastAsia" w:cs="仿宋_GB2312"/>
          <w:szCs w:val="32"/>
        </w:rPr>
        <w:t>。</w:t>
      </w:r>
      <w:r>
        <w:rPr>
          <w:rFonts w:hint="eastAsia"/>
        </w:rPr>
        <w:t>对外开放合作交流不断深化，“宝坻之外即是对外开放”理念深入人心，</w:t>
      </w:r>
      <w:r>
        <w:rPr>
          <w:rFonts w:hint="eastAsia" w:cs="仿宋_GB2312"/>
          <w:szCs w:val="32"/>
        </w:rPr>
        <w:t>引进服务型总部型企业1万余家，内资到位额超过4</w:t>
      </w:r>
      <w:r>
        <w:rPr>
          <w:rFonts w:cs="仿宋_GB2312"/>
          <w:szCs w:val="32"/>
        </w:rPr>
        <w:t>50</w:t>
      </w:r>
      <w:r>
        <w:rPr>
          <w:rFonts w:hint="eastAsia" w:cs="仿宋_GB2312"/>
          <w:szCs w:val="32"/>
        </w:rPr>
        <w:t>亿元</w:t>
      </w:r>
      <w:r>
        <w:rPr>
          <w:rFonts w:hint="eastAsia"/>
        </w:rPr>
        <w:t>。</w:t>
      </w:r>
    </w:p>
    <w:p w14:paraId="67BA4740">
      <w:pPr>
        <w:ind w:firstLine="640"/>
      </w:pPr>
      <w:r>
        <w:rPr>
          <w:rFonts w:hint="eastAsia" w:eastAsia="楷体" w:cs="楷体"/>
          <w:bCs/>
          <w:szCs w:val="32"/>
        </w:rPr>
        <w:t>农业强区建设扎实推进。</w:t>
      </w:r>
      <w:r>
        <w:rPr>
          <w:rFonts w:hint="eastAsia" w:cs="仿宋_GB2312"/>
          <w:szCs w:val="32"/>
        </w:rPr>
        <w:t>成功获评国家现代农业产业园、国家农业科技园区，启动国家农业高新技术产业示范区创建工作。</w:t>
      </w:r>
      <w:r>
        <w:rPr>
          <w:rFonts w:hint="eastAsia"/>
        </w:rPr>
        <w:t>粮食生产安全有力保障，建设高标准农田近20.4万亩。</w:t>
      </w:r>
      <w:r>
        <w:rPr>
          <w:rFonts w:hint="eastAsia" w:cs="仿宋_GB2312"/>
          <w:szCs w:val="32"/>
        </w:rPr>
        <w:t>现代都市型农业加快发展，小站稻、“三辣”品牌建设卓有成效。</w:t>
      </w:r>
      <w:bookmarkStart w:id="3" w:name="_Hlk212386539"/>
      <w:r>
        <w:rPr>
          <w:rFonts w:hint="eastAsia"/>
        </w:rPr>
        <w:t>乡村产业振兴、改善农村人居环境工作成效明显，获得国务院激励</w:t>
      </w:r>
      <w:bookmarkEnd w:id="3"/>
      <w:r>
        <w:rPr>
          <w:rFonts w:hint="eastAsia"/>
        </w:rPr>
        <w:t>支持，农村更加宜居宜业。新型农村集体经济有力发展，</w:t>
      </w:r>
      <w:r>
        <w:t>农村居民人均可支配收入</w:t>
      </w:r>
      <w:r>
        <w:rPr>
          <w:rFonts w:hint="eastAsia"/>
        </w:rPr>
        <w:t>实现较快增长</w:t>
      </w:r>
      <w:r>
        <w:t>。</w:t>
      </w:r>
    </w:p>
    <w:p w14:paraId="2C339343">
      <w:pPr>
        <w:ind w:firstLine="640"/>
      </w:pPr>
      <w:r>
        <w:rPr>
          <w:rFonts w:hint="eastAsia" w:eastAsia="楷体" w:cs="楷体"/>
          <w:bCs/>
          <w:szCs w:val="32"/>
        </w:rPr>
        <w:t>绿色发展底色不断厚植。</w:t>
      </w:r>
      <w:r>
        <w:rPr>
          <w:rFonts w:hint="eastAsia"/>
        </w:rPr>
        <w:t>国家生态文明建设示范区成功创建，</w:t>
      </w:r>
      <w:bookmarkStart w:id="4" w:name="_Hlk212386567"/>
      <w:r>
        <w:rPr>
          <w:rFonts w:hint="eastAsia"/>
        </w:rPr>
        <w:t>“</w:t>
      </w:r>
      <w:r>
        <w:rPr>
          <w:rFonts w:hint="eastAsia" w:cs="仿宋_GB2312"/>
          <w:szCs w:val="32"/>
        </w:rPr>
        <w:t>全国文明城区</w:t>
      </w:r>
      <w:r>
        <w:rPr>
          <w:rFonts w:hint="eastAsia"/>
        </w:rPr>
        <w:t>”</w:t>
      </w:r>
      <w:r>
        <w:rPr>
          <w:rFonts w:hint="eastAsia" w:cs="仿宋_GB2312"/>
          <w:szCs w:val="32"/>
        </w:rPr>
        <w:t>首创首成，</w:t>
      </w:r>
      <w:r>
        <w:rPr>
          <w:rFonts w:hint="eastAsia"/>
        </w:rPr>
        <w:t>境内潮白新河全段获评国家“绿水青山就是金山银山”实践创新基地。</w:t>
      </w:r>
      <w:bookmarkEnd w:id="4"/>
      <w:r>
        <w:rPr>
          <w:rFonts w:hint="eastAsia"/>
        </w:rPr>
        <w:t>“双碳”工作务实推进，九园零碳示范园区、大唐庄绿色低碳小镇建设稳步开展。绿色产业加快发展，</w:t>
      </w:r>
      <w:r>
        <w:t>实现全容量并网投产项目7个，并网规模超50</w:t>
      </w:r>
      <w:r>
        <w:rPr>
          <w:rFonts w:hint="eastAsia"/>
        </w:rPr>
        <w:t>万千</w:t>
      </w:r>
      <w:r>
        <w:t>瓦</w:t>
      </w:r>
      <w:r>
        <w:rPr>
          <w:rFonts w:hint="eastAsia"/>
        </w:rPr>
        <w:t>。环境治理成效显著，全区</w:t>
      </w:r>
      <w:r>
        <w:t>优良天数比例达73.1%，水体考核断面达标率达100%，耕地和</w:t>
      </w:r>
      <w:r>
        <w:rPr>
          <w:rFonts w:hint="eastAsia"/>
        </w:rPr>
        <w:t>重点</w:t>
      </w:r>
      <w:r>
        <w:t>建设用地安全利用率保持100%</w:t>
      </w:r>
      <w:r>
        <w:rPr>
          <w:rFonts w:hint="eastAsia"/>
        </w:rPr>
        <w:t>。《天津市宝坻区潮白河全域生态旅游发展规划（2024</w:t>
      </w:r>
      <w:r>
        <w:rPr>
          <w:rFonts w:hint="eastAsia" w:cs="仿宋_GB2312"/>
          <w:szCs w:val="32"/>
        </w:rPr>
        <w:t>—</w:t>
      </w:r>
      <w:r>
        <w:rPr>
          <w:rFonts w:hint="eastAsia"/>
        </w:rPr>
        <w:t>2035年）》高质量编制完成，</w:t>
      </w:r>
      <w:r>
        <w:rPr>
          <w:rFonts w:hint="eastAsia" w:cs="仿宋_GB2312"/>
          <w:szCs w:val="32"/>
        </w:rPr>
        <w:t>“遇见宝坻·印象潮白”品牌不断擦亮，农商文体旅融合发展，渔生态、水木三乡等特色小镇建设有序推进，国家级钓鱼运动基地成功落户，小辛码头旅游景区获评国家3</w:t>
      </w:r>
      <w:r>
        <w:rPr>
          <w:rFonts w:cs="仿宋_GB2312"/>
          <w:szCs w:val="32"/>
        </w:rPr>
        <w:t>A</w:t>
      </w:r>
      <w:r>
        <w:rPr>
          <w:rFonts w:hint="eastAsia" w:cs="仿宋_GB2312"/>
          <w:szCs w:val="32"/>
        </w:rPr>
        <w:t>级旅游景区，潮白河两岸各类文旅活动风生水起。</w:t>
      </w:r>
    </w:p>
    <w:p w14:paraId="29EE83D3">
      <w:pPr>
        <w:ind w:firstLine="640"/>
      </w:pPr>
      <w:r>
        <w:rPr>
          <w:rFonts w:hint="eastAsia" w:eastAsia="楷体" w:cs="楷体"/>
          <w:bCs/>
          <w:szCs w:val="32"/>
        </w:rPr>
        <w:t>城市治理效能显著增强。</w:t>
      </w:r>
      <w:r>
        <w:rPr>
          <w:rFonts w:hint="eastAsia" w:cs="仿宋_GB2312"/>
          <w:szCs w:val="32"/>
        </w:rPr>
        <w:t>《天津市宝坻区国土空间总体规划（2</w:t>
      </w:r>
      <w:r>
        <w:rPr>
          <w:rFonts w:cs="仿宋_GB2312"/>
          <w:szCs w:val="32"/>
        </w:rPr>
        <w:t>021</w:t>
      </w:r>
      <w:r>
        <w:rPr>
          <w:rFonts w:hint="eastAsia" w:cs="仿宋_GB2312"/>
          <w:szCs w:val="32"/>
        </w:rPr>
        <w:t>—2</w:t>
      </w:r>
      <w:r>
        <w:rPr>
          <w:rFonts w:cs="仿宋_GB2312"/>
          <w:szCs w:val="32"/>
        </w:rPr>
        <w:t>035</w:t>
      </w:r>
      <w:r>
        <w:rPr>
          <w:rFonts w:hint="eastAsia" w:cs="仿宋_GB2312"/>
          <w:szCs w:val="32"/>
        </w:rPr>
        <w:t>年）》获市政府批复，“</w:t>
      </w:r>
      <w:r>
        <w:rPr>
          <w:rFonts w:hint="eastAsia"/>
        </w:rPr>
        <w:t>一核两翼”的城市发展格局更加清晰。</w:t>
      </w:r>
      <w:r>
        <w:rPr>
          <w:rFonts w:hint="eastAsia" w:cs="仿宋_GB2312"/>
          <w:szCs w:val="32"/>
        </w:rPr>
        <w:t>老城改造工作深入开展，</w:t>
      </w:r>
      <w:r>
        <w:rPr>
          <w:rFonts w:hint="eastAsia"/>
        </w:rPr>
        <w:t>全市规模最大棚改项目还迁工作顺利完成，近1</w:t>
      </w:r>
      <w:r>
        <w:t>0</w:t>
      </w:r>
      <w:r>
        <w:rPr>
          <w:rFonts w:hint="eastAsia"/>
        </w:rPr>
        <w:t>万群众喜迁新居。“双环水系、五大公园”建成开放，城市生态供给和韧性安全有力保障。社会大局和谐稳定，</w:t>
      </w:r>
      <w:r>
        <w:rPr>
          <w:rFonts w:hint="eastAsia" w:cs="仿宋_GB2312"/>
          <w:szCs w:val="32"/>
        </w:rPr>
        <w:t>荣获“全国双拥模范城”荣誉称号，入选首批全国社会治安防控体系建设示范城市，摘得全国平安建设最高奖“长安杯”。</w:t>
      </w:r>
      <w:r>
        <w:rPr>
          <w:rFonts w:hint="eastAsia"/>
        </w:rPr>
        <w:t>党建引领基层治理效能持续提升，群众获得感、幸福感、安全感明显增强。</w:t>
      </w:r>
    </w:p>
    <w:p w14:paraId="54CED345">
      <w:pPr>
        <w:ind w:firstLine="640"/>
      </w:pPr>
      <w:r>
        <w:rPr>
          <w:rFonts w:hint="eastAsia" w:eastAsia="楷体" w:cs="楷体"/>
          <w:bCs/>
          <w:szCs w:val="32"/>
        </w:rPr>
        <w:t>社会民生福祉全面进步。</w:t>
      </w:r>
      <w:r>
        <w:rPr>
          <w:rFonts w:hint="eastAsia" w:cs="仿宋_GB2312"/>
          <w:bCs/>
          <w:szCs w:val="32"/>
        </w:rPr>
        <w:t>年度2</w:t>
      </w:r>
      <w:r>
        <w:rPr>
          <w:rFonts w:cs="仿宋_GB2312"/>
          <w:bCs/>
          <w:szCs w:val="32"/>
        </w:rPr>
        <w:t>0</w:t>
      </w:r>
      <w:r>
        <w:rPr>
          <w:rFonts w:hint="eastAsia" w:cs="仿宋_GB2312"/>
          <w:bCs/>
          <w:szCs w:val="32"/>
        </w:rPr>
        <w:t>项民生实事项目滚动实施，“业教保医”各类民生项目统筹推进。</w:t>
      </w:r>
      <w:r>
        <w:rPr>
          <w:rFonts w:hint="eastAsia"/>
        </w:rPr>
        <w:t>就业保障不断增强，先后推出“人才十条”和“人才A</w:t>
      </w:r>
      <w:r>
        <w:t>B</w:t>
      </w:r>
      <w:r>
        <w:rPr>
          <w:rFonts w:hint="eastAsia"/>
        </w:rPr>
        <w:t>卡”等多项保障政策。教育事业协调发展，新建一批高质量职业学校，增加中小学校和幼儿园学位超</w:t>
      </w:r>
      <w:r>
        <w:t>1.2万个</w:t>
      </w:r>
      <w:r>
        <w:rPr>
          <w:rFonts w:hint="eastAsia"/>
        </w:rPr>
        <w:t>。社会保障更加有力，国家卫生区复审高水平通过，全民参保计划稳步推动，综合养老服务中心建成运营，全国县域养老服务体系创新试点项目深入实施。“健康宝坻”加快建设，医疗卫生资源加快配置，智慧医疗系统加快打造，“1</w:t>
      </w:r>
      <w:r>
        <w:t>5</w:t>
      </w:r>
      <w:r>
        <w:rPr>
          <w:rFonts w:hint="eastAsia"/>
        </w:rPr>
        <w:t>分钟医疗卫生服务圈”“1</w:t>
      </w:r>
      <w:r>
        <w:t>5</w:t>
      </w:r>
      <w:r>
        <w:rPr>
          <w:rFonts w:hint="eastAsia"/>
        </w:rPr>
        <w:t>分钟健身圈”实现全覆盖。</w:t>
      </w:r>
    </w:p>
    <w:p w14:paraId="7DF98654">
      <w:pPr>
        <w:pStyle w:val="4"/>
        <w:spacing w:before="217" w:after="217"/>
        <w:rPr>
          <w:rFonts w:ascii="宋体" w:hAnsi="宋体"/>
        </w:rPr>
      </w:pPr>
      <w:bookmarkStart w:id="5" w:name="_Toc219068699"/>
      <w:r>
        <w:rPr>
          <w:rFonts w:hint="eastAsia" w:ascii="宋体" w:hAnsi="宋体"/>
        </w:rPr>
        <w:t>第二节 “十五五”时期宝坻面临的机遇和挑战</w:t>
      </w:r>
      <w:bookmarkEnd w:id="5"/>
    </w:p>
    <w:p w14:paraId="7C7B1F82">
      <w:pPr>
        <w:ind w:firstLine="640"/>
      </w:pPr>
      <w:r>
        <w:rPr>
          <w:rFonts w:hint="eastAsia" w:eastAsia="楷体" w:cs="楷体"/>
          <w:bCs/>
          <w:szCs w:val="32"/>
        </w:rPr>
        <w:t>从宏观层面看，经济长期向好趋势没有改变。</w:t>
      </w:r>
      <w:r>
        <w:rPr>
          <w:rFonts w:hint="eastAsia"/>
          <w:b/>
        </w:rPr>
        <w:t>国际层面，</w:t>
      </w:r>
      <w:r>
        <w:rPr>
          <w:rFonts w:hint="eastAsia"/>
        </w:rPr>
        <w:t>世界百年变局加速演进，新一轮科技革命和产业革命加速突破，地缘冲突易发多发，单边主义、保护主义抬头，霸权主义和强权政治威胁上升，国际环境更加复杂多变。</w:t>
      </w:r>
      <w:r>
        <w:rPr>
          <w:rFonts w:hint="eastAsia"/>
          <w:b/>
        </w:rPr>
        <w:t>国内层面，</w:t>
      </w:r>
      <w:r>
        <w:rPr>
          <w:rFonts w:hint="eastAsia"/>
        </w:rPr>
        <w:t>我国经济基础稳、优势多、韧性强、潜能大，长期向好的支撑条件和基本趋势没有变，中国特色社会主义制度优势、超大规模市场优势、完整产业体系优势、丰富人才资源优势更加彰显，是宝坻区推动高质量发展的最坚强后盾。</w:t>
      </w:r>
    </w:p>
    <w:p w14:paraId="15232055">
      <w:pPr>
        <w:ind w:firstLine="640"/>
      </w:pPr>
      <w:r>
        <w:rPr>
          <w:rFonts w:hint="eastAsia" w:eastAsia="楷体" w:cs="楷体"/>
          <w:bCs/>
          <w:szCs w:val="32"/>
        </w:rPr>
        <w:t>从区域层面看，</w:t>
      </w:r>
      <w:bookmarkStart w:id="6" w:name="_Hlk212386823"/>
      <w:r>
        <w:rPr>
          <w:rFonts w:hint="eastAsia" w:eastAsia="楷体" w:cs="楷体"/>
          <w:bCs/>
          <w:szCs w:val="32"/>
        </w:rPr>
        <w:t>资源叠加汇聚效应更加突出</w:t>
      </w:r>
      <w:bookmarkEnd w:id="6"/>
      <w:r>
        <w:rPr>
          <w:rFonts w:hint="eastAsia" w:eastAsia="楷体" w:cs="楷体"/>
          <w:bCs/>
          <w:szCs w:val="32"/>
        </w:rPr>
        <w:t>。</w:t>
      </w:r>
      <w:r>
        <w:rPr>
          <w:rFonts w:hint="eastAsia"/>
          <w:b/>
        </w:rPr>
        <w:t>京津冀区域层面，</w:t>
      </w:r>
      <w:r>
        <w:rPr>
          <w:rFonts w:hint="eastAsia"/>
        </w:rPr>
        <w:t>习近平总书记明确提出努力使京津冀成为中国式现代化建设的先行区、示范区。“十五五”时期，京津冀协同发展战略将进一步走深走实，交通、生态、产业等重点领域协同发展水平持续提升，并加快从重点领域协同向规则协同并重转变。</w:t>
      </w:r>
      <w:r>
        <w:rPr>
          <w:rFonts w:hint="eastAsia"/>
          <w:b/>
        </w:rPr>
        <w:t>天津市层面，</w:t>
      </w:r>
      <w:r>
        <w:rPr>
          <w:rFonts w:hint="eastAsia"/>
        </w:rPr>
        <w:t>“十五五”时期是天津基本建成社会主义现代化大都市、奋力谱写中国式现代化天津篇章的关键时期，上海合作组织峰会成果持续落地转化，世界智能产业博览会、中国旅游产业博览会等影响力持续扩大，成为宝坻区巩固经济向好态势的最大助力。</w:t>
      </w:r>
    </w:p>
    <w:p w14:paraId="396D9D7D">
      <w:pPr>
        <w:ind w:firstLine="640"/>
      </w:pPr>
      <w:r>
        <w:rPr>
          <w:rFonts w:hint="eastAsia" w:eastAsia="楷体" w:cs="楷体"/>
          <w:bCs/>
          <w:szCs w:val="32"/>
        </w:rPr>
        <w:t>从宝坻自身看，发展提质升级条件更加成熟。</w:t>
      </w:r>
      <w:r>
        <w:rPr>
          <w:rFonts w:hint="eastAsia"/>
        </w:rPr>
        <w:t>纵观发展的形势、条件和潜力，宝坻正处在一个发展的黄金期，区域战略优势、区位交通优势、发展空间优势、资源禀赋优势正加快转化为高质量发展的强大动能。</w:t>
      </w:r>
      <w:r>
        <w:rPr>
          <w:rFonts w:hint="eastAsia"/>
          <w:b/>
        </w:rPr>
        <w:t>区域战略方面，</w:t>
      </w:r>
      <w:r>
        <w:rPr>
          <w:rFonts w:hint="eastAsia"/>
        </w:rPr>
        <w:t>伴随京津冀协同发展重大国家战略进入新的十年，宝坻区着力“推进京津中关村科技城承接平台建设”“建成京津协作高质量产城融合示范区”，京津中关村科技城局部区域纳入天开高教科创园空间发展布局，让宝坻有能力争取更多市级乃至国家层面资源要素。</w:t>
      </w:r>
      <w:r>
        <w:rPr>
          <w:rFonts w:hint="eastAsia"/>
          <w:b/>
        </w:rPr>
        <w:t>区位交通方面，</w:t>
      </w:r>
      <w:r>
        <w:rPr>
          <w:rFonts w:hint="eastAsia"/>
        </w:rPr>
        <w:t>宝坻位于京津唐三市几何中心的特殊位置，坐拥宝坻站、宝坻南站两座高铁站，京唐、京滨等城际铁路在此交汇，京哈、塘承、津蓟等高速设口过境，随着津承城际铁路、G</w:t>
      </w:r>
      <w:r>
        <w:t>95</w:t>
      </w:r>
      <w:r>
        <w:rPr>
          <w:rFonts w:hint="eastAsia"/>
        </w:rPr>
        <w:t>首都地区环线高速、京哈高速、津蓟高速等一批重点交通线路新建改造，宝坻区交通优势更加凸显。</w:t>
      </w:r>
      <w:r>
        <w:rPr>
          <w:rFonts w:hint="eastAsia"/>
          <w:b/>
        </w:rPr>
        <w:t>发展空间方面，</w:t>
      </w:r>
      <w:r>
        <w:rPr>
          <w:rFonts w:hint="eastAsia"/>
        </w:rPr>
        <w:t>随着“一核两翼”发展格局全面铺开，京津中关村科技城、“一区四园”等优势载体加速发展，宝坻新城、京津新城城市更新有序推进，新型城镇化和乡村全面振兴接续实施，将释放巨大的发展空间</w:t>
      </w:r>
      <w:r>
        <w:t>。</w:t>
      </w:r>
      <w:r>
        <w:rPr>
          <w:b/>
        </w:rPr>
        <w:t>资源</w:t>
      </w:r>
      <w:r>
        <w:rPr>
          <w:rFonts w:hint="eastAsia"/>
          <w:b/>
        </w:rPr>
        <w:t>禀赋方面</w:t>
      </w:r>
      <w:r>
        <w:rPr>
          <w:b/>
        </w:rPr>
        <w:t>，</w:t>
      </w:r>
      <w:r>
        <w:rPr>
          <w:rFonts w:hint="eastAsia"/>
        </w:rPr>
        <w:t>潮白河国家湿地公园、天津青龙湾森林公园等生态资源，风能、太阳能、地热能等清洁能源资源，红色文化、了凡文化、曲艺文化等文化资源，为宝坻抢占发展先机提供关键竞争力。“十五五”期间，宝坻区作为京津创新资源要素汇集高地，将进入更高层次的高质量发展时期。</w:t>
      </w:r>
    </w:p>
    <w:p w14:paraId="2FDE520B">
      <w:pPr>
        <w:ind w:firstLine="640"/>
      </w:pPr>
      <w:r>
        <w:rPr>
          <w:rFonts w:hint="eastAsia"/>
        </w:rPr>
        <w:t>但也要看到，宝坻区发展不平衡不充分问题仍然突出，经济总量偏小，重点产业韧性和能级有待提升，科技成果转化能力偏弱，人才支撑作用不强，生态环境稳定向好的基础还不稳固，区位、空间、文化、交通等优势潜力没有充分激发，城乡二元结构突出，镇域经济总体不强的实际情况没有得到明显改善，城市更新、产城融合任务艰巨，民生保障、公共服务、社会治理存在短板，应急管理体系不够完善，统筹发展和安全任重道远。</w:t>
      </w:r>
    </w:p>
    <w:p w14:paraId="2CF79237">
      <w:pPr>
        <w:ind w:firstLine="640"/>
      </w:pPr>
      <w:r>
        <w:rPr>
          <w:rFonts w:hint="eastAsia"/>
        </w:rPr>
        <w:t>我们要深刻领悟“两个确立”的决定性意义，增强“四个意识”、坚定“四个自信”、做到“两个维护”，认真落实党中央决策部署和市委工作要求，立足宝坻实际，把准战略方向，盯紧规划动向，掌握民生意向，始终保持善作善成的定力和敢打必胜的决心，自觉从全局谋一域、以一域服务全局，推动中国式现代化宝坻篇章不断展现新气象。</w:t>
      </w:r>
    </w:p>
    <w:p w14:paraId="48DD151D">
      <w:pPr>
        <w:widowControl/>
        <w:spacing w:line="240" w:lineRule="auto"/>
        <w:ind w:firstLine="0" w:firstLineChars="0"/>
        <w:jc w:val="left"/>
        <w:rPr>
          <w:rFonts w:cs="仿宋_GB2312"/>
          <w:szCs w:val="32"/>
        </w:rPr>
      </w:pPr>
      <w:r>
        <w:rPr>
          <w:rFonts w:cs="仿宋_GB2312"/>
          <w:szCs w:val="32"/>
        </w:rPr>
        <w:br w:type="page"/>
      </w:r>
    </w:p>
    <w:p w14:paraId="25467FCB">
      <w:pPr>
        <w:pStyle w:val="3"/>
        <w:spacing w:before="435" w:after="435"/>
        <w:ind w:left="160" w:leftChars="50" w:right="160" w:rightChars="50"/>
        <w:rPr>
          <w:rFonts w:ascii="宋体" w:hAnsi="宋体"/>
        </w:rPr>
      </w:pPr>
      <w:bookmarkStart w:id="7" w:name="_Toc219068700"/>
      <w:r>
        <w:rPr>
          <w:rFonts w:hint="eastAsia" w:ascii="宋体" w:hAnsi="宋体"/>
        </w:rPr>
        <w:t>第二章</w:t>
      </w:r>
      <w:r>
        <w:rPr>
          <w:rFonts w:ascii="宋体" w:hAnsi="宋体"/>
        </w:rPr>
        <w:t xml:space="preserve"> </w:t>
      </w:r>
      <w:r>
        <w:rPr>
          <w:rFonts w:hint="eastAsia" w:ascii="宋体" w:hAnsi="宋体"/>
        </w:rPr>
        <w:t>“十五五”时期宝坻经济社会发展的总体要求和主要目标</w:t>
      </w:r>
      <w:bookmarkEnd w:id="7"/>
    </w:p>
    <w:p w14:paraId="3F5AA111">
      <w:pPr>
        <w:pStyle w:val="4"/>
        <w:spacing w:before="217" w:after="217"/>
        <w:rPr>
          <w:rFonts w:ascii="宋体" w:hAnsi="宋体"/>
        </w:rPr>
      </w:pPr>
      <w:bookmarkStart w:id="8" w:name="_Toc219068701"/>
      <w:r>
        <w:rPr>
          <w:rFonts w:hint="eastAsia" w:ascii="宋体" w:hAnsi="宋体"/>
        </w:rPr>
        <w:t>第一节 指导思想</w:t>
      </w:r>
      <w:bookmarkEnd w:id="8"/>
    </w:p>
    <w:p w14:paraId="617147A3">
      <w:pPr>
        <w:ind w:firstLine="640"/>
      </w:pPr>
      <w:r>
        <w:rPr>
          <w:rFonts w:hint="eastAsia"/>
        </w:rPr>
        <w:t>坚持马克思列宁主义、毛泽东思想、邓小平理论、“三个代表”重要思想、科学发展观，全面贯彻习近平新时代中国特色社会主义思想，深入贯彻党的二十大和二十届历次全会精神，全面落实习近平总书记视察天津重要讲话精神和对天津工作一系列重要指示要求，聚焦经济建设这一中心工作和高质量发展这一首要任务，完整准确全面贯彻新发展理念，积极服务和融入构建新发展格局，坚持稳中求进工作总基调，坚持走内涵式发展路子，以推进京津冀协同发展为战略牵引，在发展新质生产力、进一步全面深化改革开放、推动文化传承发展、提升城市治理现代化水平上善作善成、见行见效，扎实实施全市高质量发展“十项行动”，用足用好“六动”工作法，优化全区1</w:t>
      </w:r>
      <w:r>
        <w:t>0</w:t>
      </w:r>
      <w:r>
        <w:rPr>
          <w:rFonts w:hint="eastAsia"/>
        </w:rPr>
        <w:t>个重点工作专项推动组机制，深化科技创新、产业焕新、城市更新，推进盘活存量、做优增量、提升质量，更好统筹发展和安全，加快构建“一核两翼”发展格局，持之以恒推进全面从严治党，推动经济实现质的有效提升和量的合理增长，不断满足群众日益增长的美好生活需要，奋力建设“开放宝地、创新高地、水韵胜地、乐享福地”，确保基本建成社会主义现代化新宝坻取得决定性进展，为打造中国式现代化建设先行区、示范区做出宝坻贡献。</w:t>
      </w:r>
    </w:p>
    <w:p w14:paraId="50303868">
      <w:pPr>
        <w:pStyle w:val="4"/>
        <w:spacing w:before="217" w:after="217"/>
        <w:rPr>
          <w:rFonts w:ascii="宋体" w:hAnsi="宋体"/>
        </w:rPr>
      </w:pPr>
      <w:bookmarkStart w:id="9" w:name="OLE_LINK1"/>
      <w:bookmarkStart w:id="10" w:name="_Toc219068702"/>
      <w:r>
        <w:rPr>
          <w:rFonts w:hint="eastAsia" w:ascii="宋体" w:hAnsi="宋体"/>
        </w:rPr>
        <w:t>第二节 必须遵循的原则</w:t>
      </w:r>
      <w:bookmarkEnd w:id="9"/>
      <w:bookmarkEnd w:id="10"/>
    </w:p>
    <w:p w14:paraId="130C9B08">
      <w:pPr>
        <w:ind w:firstLine="640"/>
      </w:pPr>
      <w:r>
        <w:rPr>
          <w:rFonts w:hint="eastAsia" w:eastAsia="楷体" w:cs="楷体"/>
          <w:bCs/>
          <w:szCs w:val="32"/>
        </w:rPr>
        <w:t>——</w:t>
      </w:r>
      <w:r>
        <w:rPr>
          <w:rFonts w:eastAsia="楷体" w:cs="楷体"/>
          <w:bCs/>
          <w:szCs w:val="32"/>
        </w:rPr>
        <w:t>坚持党的全面领导。</w:t>
      </w:r>
      <w:r>
        <w:t>坚决维护党中央权威和集中统一领导，把党的领导贯穿经济社会发展各方面全过程，</w:t>
      </w:r>
      <w:r>
        <w:rPr>
          <w:rFonts w:hint="eastAsia"/>
        </w:rPr>
        <w:t>不断增强政治领导力、思想引领力、群众组织力、社会号召力</w:t>
      </w:r>
      <w:r>
        <w:t>，为全区经济社会发展提供根本保证。</w:t>
      </w:r>
    </w:p>
    <w:p w14:paraId="6948FD61">
      <w:pPr>
        <w:ind w:firstLine="640"/>
      </w:pPr>
      <w:r>
        <w:rPr>
          <w:rFonts w:hint="eastAsia" w:eastAsia="楷体" w:cs="楷体"/>
          <w:bCs/>
          <w:szCs w:val="32"/>
        </w:rPr>
        <w:t>——</w:t>
      </w:r>
      <w:r>
        <w:rPr>
          <w:rFonts w:eastAsia="楷体" w:cs="楷体"/>
          <w:bCs/>
          <w:szCs w:val="32"/>
        </w:rPr>
        <w:t>坚持人民至上。</w:t>
      </w:r>
      <w:r>
        <w:t>尊重人民主体地位，维护人民根本利益，促进社会公平正义，注重在发展中保障和改善民生</w:t>
      </w:r>
      <w:r>
        <w:rPr>
          <w:rFonts w:hint="eastAsia"/>
        </w:rPr>
        <w:t>，</w:t>
      </w:r>
      <w:r>
        <w:t>在满足民生需求中拓展发展空间，推动经济和社会协调发展、物质文明和精神文明相得益彰，让现代化建设成果更多更公平惠及全区人民</w:t>
      </w:r>
      <w:r>
        <w:rPr>
          <w:rFonts w:hint="eastAsia"/>
        </w:rPr>
        <w:t>。</w:t>
      </w:r>
    </w:p>
    <w:p w14:paraId="12993F34">
      <w:pPr>
        <w:ind w:firstLine="640"/>
      </w:pPr>
      <w:r>
        <w:rPr>
          <w:rFonts w:hint="eastAsia" w:eastAsia="楷体" w:cs="楷体"/>
          <w:bCs/>
          <w:szCs w:val="32"/>
        </w:rPr>
        <w:t>——</w:t>
      </w:r>
      <w:r>
        <w:rPr>
          <w:rFonts w:eastAsia="楷体" w:cs="楷体"/>
          <w:bCs/>
          <w:szCs w:val="32"/>
        </w:rPr>
        <w:t>坚持高质量发展。</w:t>
      </w:r>
      <w:r>
        <w:rPr>
          <w:rFonts w:hint="eastAsia"/>
        </w:rPr>
        <w:t>完整准确全面贯彻</w:t>
      </w:r>
      <w:r>
        <w:t>新发展理念，因地制宜发展新质生产力，</w:t>
      </w:r>
      <w:r>
        <w:rPr>
          <w:rFonts w:hint="eastAsia"/>
        </w:rPr>
        <w:t>积极服务做强</w:t>
      </w:r>
      <w:r>
        <w:t>国内大循环、畅通国内国际双循环，统筹扩大</w:t>
      </w:r>
      <w:r>
        <w:rPr>
          <w:rFonts w:hint="eastAsia"/>
        </w:rPr>
        <w:t>有效需求</w:t>
      </w:r>
      <w:r>
        <w:t>和深化供给侧结构性改革</w:t>
      </w:r>
      <w:r>
        <w:rPr>
          <w:rFonts w:hint="eastAsia"/>
        </w:rPr>
        <w:t>，</w:t>
      </w:r>
      <w:r>
        <w:t>加快培育新动能，促进经济结构优化升级，</w:t>
      </w:r>
      <w:r>
        <w:rPr>
          <w:rFonts w:hint="eastAsia"/>
        </w:rPr>
        <w:t>注重提质增效，</w:t>
      </w:r>
      <w:r>
        <w:t>以盘活存量、提升质量带动做优增量、做大总量，</w:t>
      </w:r>
      <w:r>
        <w:rPr>
          <w:rFonts w:hint="eastAsia"/>
        </w:rPr>
        <w:t>推动经济持续健康发展和社会全面进步</w:t>
      </w:r>
      <w:r>
        <w:t>。</w:t>
      </w:r>
    </w:p>
    <w:p w14:paraId="3D84B4C7">
      <w:pPr>
        <w:ind w:firstLine="640"/>
      </w:pPr>
      <w:r>
        <w:rPr>
          <w:rFonts w:hint="eastAsia" w:eastAsia="楷体" w:cs="楷体"/>
          <w:bCs/>
          <w:szCs w:val="32"/>
        </w:rPr>
        <w:t>——坚持全面深化改革。</w:t>
      </w:r>
      <w:r>
        <w:rPr>
          <w:rFonts w:hint="eastAsia"/>
        </w:rPr>
        <w:t>聚焦制约高质量发展的体制机制障碍，解放思想、开拓创新，向深化改革要活力、向扩大开放要空间，不断提升改革的精准性、针对性、实效性，持续增强发展动力和社会活力。</w:t>
      </w:r>
    </w:p>
    <w:p w14:paraId="34035B66">
      <w:pPr>
        <w:ind w:firstLine="640"/>
      </w:pPr>
      <w:r>
        <w:rPr>
          <w:rFonts w:hint="eastAsia" w:eastAsia="楷体" w:cs="楷体"/>
          <w:bCs/>
          <w:szCs w:val="32"/>
        </w:rPr>
        <w:t>——坚持有效市场和有为政府相结合。</w:t>
      </w:r>
      <w:r>
        <w:rPr>
          <w:rFonts w:hint="eastAsia"/>
        </w:rPr>
        <w:t>充分发挥市场在资源配置中的决定性作用，更好发挥政府作用，积极融入统一、开放、竞争、有序的市场体系，建设法治经济、信用经济，打造市场化法治化国际化一流营商环境，形成既“放得活”又“管得好”的经济秩序。</w:t>
      </w:r>
    </w:p>
    <w:p w14:paraId="57852E6E">
      <w:pPr>
        <w:ind w:firstLine="640"/>
      </w:pPr>
      <w:r>
        <w:rPr>
          <w:rFonts w:hint="eastAsia" w:eastAsia="楷体" w:cs="楷体"/>
          <w:bCs/>
          <w:szCs w:val="32"/>
        </w:rPr>
        <w:t>——</w:t>
      </w:r>
      <w:r>
        <w:rPr>
          <w:rFonts w:eastAsia="楷体" w:cs="楷体"/>
          <w:bCs/>
          <w:szCs w:val="32"/>
        </w:rPr>
        <w:t>坚持统筹发展和安全。</w:t>
      </w:r>
      <w:r>
        <w:t>在发展中固安全，在安全中谋发展，</w:t>
      </w:r>
      <w:r>
        <w:rPr>
          <w:rFonts w:hint="eastAsia"/>
        </w:rPr>
        <w:t>全面</w:t>
      </w:r>
      <w:r>
        <w:t>贯彻总体国家安全观，强化底线思维，有效防范化解各类风险，增强经济和社会韧性，实现高质量发展和</w:t>
      </w:r>
      <w:r>
        <w:rPr>
          <w:rFonts w:hint="eastAsia"/>
        </w:rPr>
        <w:t>高水</w:t>
      </w:r>
      <w:r>
        <w:t>平安全良性互动。</w:t>
      </w:r>
    </w:p>
    <w:p w14:paraId="3BE6ADF8">
      <w:pPr>
        <w:pStyle w:val="4"/>
        <w:spacing w:before="217" w:after="217"/>
        <w:rPr>
          <w:rFonts w:ascii="宋体" w:hAnsi="宋体"/>
        </w:rPr>
      </w:pPr>
      <w:bookmarkStart w:id="11" w:name="_Toc219068703"/>
      <w:r>
        <w:rPr>
          <w:rFonts w:hint="eastAsia" w:ascii="宋体" w:hAnsi="宋体"/>
        </w:rPr>
        <w:t>第三节</w:t>
      </w:r>
      <w:r>
        <w:rPr>
          <w:rFonts w:ascii="宋体" w:hAnsi="宋体"/>
        </w:rPr>
        <w:t xml:space="preserve"> 主要目标</w:t>
      </w:r>
      <w:bookmarkEnd w:id="11"/>
    </w:p>
    <w:p w14:paraId="29EC38B7">
      <w:pPr>
        <w:pStyle w:val="20"/>
        <w:ind w:firstLine="640"/>
        <w:jc w:val="both"/>
        <w:rPr>
          <w:rFonts w:ascii="宋体" w:hAnsi="宋体" w:eastAsia="仿宋_GB2312" w:cstheme="minorBidi"/>
          <w:kern w:val="2"/>
          <w:sz w:val="32"/>
          <w:szCs w:val="22"/>
        </w:rPr>
      </w:pPr>
      <w:r>
        <w:rPr>
          <w:rFonts w:hint="eastAsia" w:ascii="宋体" w:hAnsi="宋体" w:eastAsia="楷体" w:cs="楷体"/>
          <w:bCs/>
          <w:kern w:val="2"/>
          <w:sz w:val="32"/>
          <w:szCs w:val="32"/>
        </w:rPr>
        <w:t>——建成合作共赢、协同高效的开放宝地。</w:t>
      </w:r>
      <w:r>
        <w:rPr>
          <w:rFonts w:hint="eastAsia" w:ascii="宋体" w:hAnsi="宋体" w:eastAsia="仿宋_GB2312" w:cstheme="minorBidi"/>
          <w:kern w:val="2"/>
          <w:sz w:val="32"/>
          <w:szCs w:val="22"/>
        </w:rPr>
        <w:t>“立足京津冀，面向全中国、联通全世界”的开放水平达到新高度，京津冀协同发展战略牵引作用更加凸显，京津中关村科技城发展提质升级，建成京津协作高质量产城融合示范区，“京东黄金走廊”成为京津冀区域一体化发展的重要载体，形成一批体现宝坻优势的标志性、特色性高质量区域协作成果。</w:t>
      </w:r>
    </w:p>
    <w:p w14:paraId="3CC282F0">
      <w:pPr>
        <w:pStyle w:val="20"/>
        <w:ind w:firstLine="640"/>
        <w:jc w:val="both"/>
        <w:rPr>
          <w:rFonts w:ascii="宋体" w:hAnsi="宋体" w:eastAsia="仿宋_GB2312" w:cstheme="minorBidi"/>
          <w:kern w:val="2"/>
          <w:sz w:val="32"/>
          <w:szCs w:val="22"/>
        </w:rPr>
      </w:pPr>
      <w:r>
        <w:rPr>
          <w:rFonts w:hint="eastAsia" w:ascii="宋体" w:hAnsi="宋体" w:eastAsia="楷体" w:cs="楷体"/>
          <w:bCs/>
          <w:kern w:val="2"/>
          <w:sz w:val="32"/>
          <w:szCs w:val="32"/>
        </w:rPr>
        <w:t>——建成质效双升、外联内畅的开放宝地。</w:t>
      </w:r>
      <w:r>
        <w:rPr>
          <w:rFonts w:hint="eastAsia" w:ascii="宋体" w:hAnsi="宋体" w:eastAsia="仿宋_GB2312" w:cstheme="minorBidi"/>
          <w:kern w:val="2"/>
          <w:sz w:val="32"/>
          <w:szCs w:val="22"/>
        </w:rPr>
        <w:t>高水平对外开放体制机制政策更加系统完善，建成京津冀地区重要交通枢纽，经济综合实力和竞争力迈上新台阶，投资结构、消费结构进一步优化，营商环境走在全国前列，新型工业化、信息化、城镇化、农业现代化取得显著进展。</w:t>
      </w:r>
    </w:p>
    <w:p w14:paraId="000AF600">
      <w:pPr>
        <w:pStyle w:val="20"/>
        <w:ind w:firstLine="640"/>
        <w:jc w:val="both"/>
        <w:rPr>
          <w:rFonts w:ascii="宋体" w:hAnsi="宋体" w:eastAsia="仿宋_GB2312" w:cstheme="minorBidi"/>
          <w:kern w:val="2"/>
          <w:sz w:val="32"/>
          <w:szCs w:val="22"/>
        </w:rPr>
      </w:pPr>
      <w:r>
        <w:rPr>
          <w:rFonts w:hint="eastAsia" w:ascii="宋体" w:hAnsi="宋体" w:eastAsia="楷体" w:cs="楷体"/>
          <w:bCs/>
          <w:kern w:val="2"/>
          <w:sz w:val="32"/>
          <w:szCs w:val="32"/>
        </w:rPr>
        <w:t>——建成制度完善、体系完备的创新高地。</w:t>
      </w:r>
      <w:r>
        <w:rPr>
          <w:rFonts w:hint="eastAsia" w:ascii="宋体" w:hAnsi="宋体" w:eastAsia="仿宋_GB2312" w:cstheme="minorBidi"/>
          <w:kern w:val="2"/>
          <w:sz w:val="32"/>
          <w:szCs w:val="22"/>
        </w:rPr>
        <w:t>制度创新、科技创新、产业创新、金融创新深度融合，京津两地政策资源有效整合，在强化资源引入、促进公平竞争、深化区域协作、优化政务服务等领域推出一批制度性创新成果，持续放大政府“搭台”与企业“唱戏”协同效应，构建支撑企业创新的良好生态系统。</w:t>
      </w:r>
    </w:p>
    <w:p w14:paraId="6D81F277">
      <w:pPr>
        <w:pStyle w:val="20"/>
        <w:ind w:firstLine="640"/>
        <w:jc w:val="both"/>
        <w:rPr>
          <w:rFonts w:ascii="宋体" w:hAnsi="宋体" w:eastAsia="仿宋_GB2312" w:cstheme="minorBidi"/>
          <w:kern w:val="2"/>
          <w:sz w:val="32"/>
          <w:szCs w:val="22"/>
        </w:rPr>
      </w:pPr>
      <w:r>
        <w:rPr>
          <w:rFonts w:hint="eastAsia" w:ascii="宋体" w:hAnsi="宋体" w:eastAsia="楷体" w:cs="楷体"/>
          <w:bCs/>
          <w:kern w:val="2"/>
          <w:sz w:val="32"/>
          <w:szCs w:val="32"/>
        </w:rPr>
        <w:t>——建成科技领航、才汇智聚的创新高地。</w:t>
      </w:r>
      <w:r>
        <w:rPr>
          <w:rFonts w:hint="eastAsia" w:ascii="宋体" w:hAnsi="宋体" w:eastAsia="仿宋_GB2312" w:cstheme="minorBidi"/>
          <w:kern w:val="2"/>
          <w:sz w:val="32"/>
          <w:szCs w:val="22"/>
        </w:rPr>
        <w:t>创新平台体系更加完备，全社会研发经费支出占比大幅提升，一批中试基地、创新应用场景落地宝坻，重点领域关键核心技术取得突破，一批符合产业发展趋势的科技创新成果在宝坻转化，教育科技人才一体化发展格局基本形成。</w:t>
      </w:r>
    </w:p>
    <w:p w14:paraId="04AEB1DB">
      <w:pPr>
        <w:pStyle w:val="20"/>
        <w:ind w:firstLine="640"/>
        <w:jc w:val="both"/>
        <w:rPr>
          <w:rFonts w:ascii="宋体" w:hAnsi="宋体" w:eastAsia="仿宋_GB2312" w:cstheme="minorBidi"/>
          <w:kern w:val="2"/>
          <w:sz w:val="32"/>
          <w:szCs w:val="22"/>
        </w:rPr>
      </w:pPr>
      <w:r>
        <w:rPr>
          <w:rFonts w:hint="eastAsia" w:ascii="宋体" w:hAnsi="宋体" w:eastAsia="楷体" w:cs="楷体"/>
          <w:bCs/>
          <w:kern w:val="2"/>
          <w:sz w:val="32"/>
          <w:szCs w:val="32"/>
        </w:rPr>
        <w:t>——建成清新自然、生态宜居的水韵胜地。</w:t>
      </w:r>
      <w:r>
        <w:rPr>
          <w:rFonts w:hint="eastAsia" w:ascii="宋体" w:hAnsi="宋体" w:eastAsia="仿宋_GB2312" w:cstheme="minorBidi"/>
          <w:kern w:val="2"/>
          <w:sz w:val="32"/>
          <w:szCs w:val="22"/>
        </w:rPr>
        <w:t>生产生活方式绿色转型成效显著，碳达峰目标如期实现，清洁高效、多元支撑的新型能源强区加快建设，生态环境质量持续提升，基本建成“无废城市”，人与自然和谐共生理念更加深入人心，美丽宝坻建设取得重要进展，宝坻的天更蓝、水更清、颜值更高</w:t>
      </w:r>
      <w:r>
        <w:rPr>
          <w:rFonts w:ascii="宋体" w:hAnsi="宋体" w:eastAsia="仿宋_GB2312" w:cstheme="minorBidi"/>
          <w:kern w:val="2"/>
          <w:sz w:val="32"/>
          <w:szCs w:val="22"/>
        </w:rPr>
        <w:t>。</w:t>
      </w:r>
    </w:p>
    <w:p w14:paraId="484839F5">
      <w:pPr>
        <w:pStyle w:val="20"/>
        <w:ind w:firstLine="640"/>
        <w:jc w:val="both"/>
        <w:rPr>
          <w:rFonts w:ascii="宋体" w:hAnsi="宋体" w:eastAsia="仿宋_GB2312" w:cstheme="minorBidi"/>
          <w:kern w:val="2"/>
          <w:sz w:val="32"/>
          <w:szCs w:val="22"/>
        </w:rPr>
      </w:pPr>
      <w:r>
        <w:rPr>
          <w:rFonts w:hint="eastAsia" w:ascii="宋体" w:hAnsi="宋体" w:eastAsia="楷体" w:cs="楷体"/>
          <w:bCs/>
          <w:kern w:val="2"/>
          <w:sz w:val="32"/>
          <w:szCs w:val="32"/>
        </w:rPr>
        <w:t>——建成崇德向善、文焕旅兴的水韵胜地。</w:t>
      </w:r>
      <w:r>
        <w:rPr>
          <w:rFonts w:hint="eastAsia" w:ascii="宋体" w:hAnsi="宋体" w:eastAsia="仿宋_GB2312" w:cstheme="minorBidi"/>
          <w:kern w:val="2"/>
          <w:sz w:val="32"/>
          <w:szCs w:val="22"/>
        </w:rPr>
        <w:t>文化自信更坚定，主流思想舆论不断巩固扩大，社会主义核心价值观广泛践行，群众精神文化生活更丰富，文化事业和文化产业繁荣发展，“遇见宝坻·印象潮白”成为远近闻名的文旅品牌，“文宝坻”创新创造活力进一步迸发。</w:t>
      </w:r>
    </w:p>
    <w:p w14:paraId="6216D0EC">
      <w:pPr>
        <w:pStyle w:val="20"/>
        <w:ind w:firstLine="640"/>
        <w:jc w:val="both"/>
        <w:rPr>
          <w:rFonts w:ascii="宋体" w:hAnsi="宋体" w:eastAsia="仿宋_GB2312" w:cstheme="minorBidi"/>
          <w:kern w:val="2"/>
          <w:sz w:val="32"/>
          <w:szCs w:val="22"/>
        </w:rPr>
      </w:pPr>
      <w:r>
        <w:rPr>
          <w:rFonts w:hint="eastAsia" w:ascii="宋体" w:hAnsi="宋体" w:eastAsia="楷体" w:cs="楷体"/>
          <w:bCs/>
          <w:kern w:val="2"/>
          <w:sz w:val="32"/>
          <w:szCs w:val="32"/>
        </w:rPr>
        <w:t>——建成幸福绵长、可感可及的乐享福地。</w:t>
      </w:r>
      <w:r>
        <w:rPr>
          <w:rFonts w:hint="eastAsia" w:ascii="宋体" w:hAnsi="宋体" w:eastAsia="仿宋_GB2312" w:cstheme="minorBidi"/>
          <w:kern w:val="2"/>
          <w:sz w:val="32"/>
          <w:szCs w:val="22"/>
        </w:rPr>
        <w:t>高质量充分就业取得新进展，居民收入增长和经济增长同步、劳动报酬和劳动生产率提高同步，分配结构进一步优化，中等收入群体不断扩大，多层次社会保障制度更加完善、更可持续，公共服务体系更加优质均衡，现代化教育集聚区基本建成。</w:t>
      </w:r>
    </w:p>
    <w:p w14:paraId="11893AA0">
      <w:pPr>
        <w:pStyle w:val="20"/>
        <w:ind w:firstLine="640"/>
        <w:jc w:val="both"/>
        <w:rPr>
          <w:rFonts w:ascii="宋体" w:hAnsi="宋体" w:eastAsia="仿宋_GB2312" w:cstheme="minorBidi"/>
          <w:kern w:val="2"/>
          <w:sz w:val="32"/>
          <w:szCs w:val="22"/>
        </w:rPr>
      </w:pPr>
      <w:r>
        <w:rPr>
          <w:rFonts w:hint="eastAsia" w:ascii="宋体" w:hAnsi="宋体" w:eastAsia="楷体" w:cs="楷体"/>
          <w:bCs/>
          <w:kern w:val="2"/>
          <w:sz w:val="32"/>
          <w:szCs w:val="32"/>
        </w:rPr>
        <w:t>——建成安全安心、韧性可靠的乐享福地。</w:t>
      </w:r>
      <w:r>
        <w:rPr>
          <w:rFonts w:hint="eastAsia" w:ascii="宋体" w:hAnsi="宋体" w:eastAsia="仿宋_GB2312" w:cstheme="minorBidi"/>
          <w:kern w:val="2"/>
          <w:sz w:val="32"/>
          <w:szCs w:val="22"/>
        </w:rPr>
        <w:t>统筹发展和安全的能力不断增强，韧性安全城市基底更加稳固，首都政治、安全“护城河”更牢固，重点领域风险得到有效防范化解，党建引领基层治理效能明显提升，共建共治共享的社会治理格局更加扎实，城市运行更安全、更有序、更智慧、更高效，平安宝坻建设迈上更高水平</w:t>
      </w:r>
      <w:r>
        <w:rPr>
          <w:rFonts w:ascii="宋体" w:hAnsi="宋体" w:eastAsia="仿宋_GB2312" w:cstheme="minorBidi"/>
          <w:kern w:val="2"/>
          <w:sz w:val="32"/>
          <w:szCs w:val="22"/>
        </w:rPr>
        <w:t>。</w:t>
      </w:r>
    </w:p>
    <w:p w14:paraId="20A93373">
      <w:pPr>
        <w:pStyle w:val="20"/>
        <w:ind w:firstLine="640"/>
        <w:jc w:val="both"/>
        <w:rPr>
          <w:rFonts w:ascii="宋体" w:hAnsi="宋体" w:eastAsia="仿宋_GB2312" w:cstheme="minorBidi"/>
          <w:kern w:val="2"/>
          <w:sz w:val="32"/>
          <w:szCs w:val="22"/>
        </w:rPr>
      </w:pPr>
      <w:r>
        <w:rPr>
          <w:rFonts w:hint="eastAsia" w:ascii="宋体" w:hAnsi="宋体" w:eastAsia="仿宋_GB2312" w:cstheme="minorBidi"/>
          <w:kern w:val="2"/>
          <w:sz w:val="32"/>
          <w:szCs w:val="22"/>
        </w:rPr>
        <w:t>在此基础上再奋斗五年，到二</w:t>
      </w:r>
      <w:r>
        <w:rPr>
          <w:rFonts w:hint="eastAsia" w:ascii="宋体" w:hAnsi="宋体" w:eastAsia="微软雅黑" w:cs="微软雅黑"/>
          <w:kern w:val="2"/>
          <w:sz w:val="32"/>
          <w:szCs w:val="22"/>
        </w:rPr>
        <w:t>〇</w:t>
      </w:r>
      <w:r>
        <w:rPr>
          <w:rFonts w:hint="eastAsia" w:ascii="宋体" w:hAnsi="宋体" w:eastAsia="仿宋_GB2312" w:cs="仿宋_GB2312"/>
          <w:kern w:val="2"/>
          <w:sz w:val="32"/>
          <w:szCs w:val="22"/>
        </w:rPr>
        <w:t>三五</w:t>
      </w:r>
      <w:r>
        <w:rPr>
          <w:rFonts w:hint="eastAsia" w:ascii="宋体" w:hAnsi="宋体" w:eastAsia="仿宋_GB2312" w:cstheme="minorBidi"/>
          <w:kern w:val="2"/>
          <w:sz w:val="32"/>
          <w:szCs w:val="22"/>
        </w:rPr>
        <w:t>年基本建成社会主义现代化新宝坻，经济总量和城乡居民收入迈上新的大台阶，现代化经济体系支撑有力，对外开放格局更加完善，现代化社会治理体系基本建成，社会文明程度达到新高度，文化软实力显著增强，生态底色更加彰显，共同富裕取得实质性进展。</w:t>
      </w:r>
    </w:p>
    <w:p w14:paraId="01BB035E">
      <w:pPr>
        <w:widowControl/>
        <w:spacing w:line="240" w:lineRule="auto"/>
        <w:ind w:firstLine="0" w:firstLineChars="0"/>
        <w:jc w:val="left"/>
        <w:rPr>
          <w:rFonts w:eastAsia="宋体" w:cs="Calibri"/>
          <w:kern w:val="0"/>
          <w:sz w:val="24"/>
          <w:szCs w:val="24"/>
        </w:rPr>
      </w:pPr>
      <w:r>
        <w:br w:type="page"/>
      </w:r>
    </w:p>
    <w:p w14:paraId="14106796">
      <w:pPr>
        <w:pStyle w:val="20"/>
        <w:ind w:firstLine="0" w:firstLineChars="0"/>
        <w:jc w:val="center"/>
        <w:rPr>
          <w:rFonts w:ascii="宋体" w:hAnsi="宋体"/>
          <w:b/>
          <w:sz w:val="30"/>
          <w:szCs w:val="30"/>
        </w:rPr>
      </w:pPr>
      <w:r>
        <w:rPr>
          <w:rFonts w:hint="eastAsia" w:ascii="宋体" w:hAnsi="宋体" w:eastAsia="仿宋_GB2312" w:cstheme="minorBidi"/>
          <w:b/>
          <w:kern w:val="2"/>
          <w:sz w:val="30"/>
          <w:szCs w:val="30"/>
        </w:rPr>
        <w:t>专栏</w:t>
      </w:r>
      <w:r>
        <w:rPr>
          <w:rFonts w:hint="eastAsia" w:ascii="宋体" w:hAnsi="宋体" w:eastAsia="仿宋_GB2312" w:cs="宋体"/>
          <w:b/>
          <w:color w:val="000000"/>
          <w:sz w:val="28"/>
          <w:szCs w:val="28"/>
        </w:rPr>
        <w:t>1</w:t>
      </w:r>
      <w:r>
        <w:rPr>
          <w:rFonts w:ascii="宋体" w:hAnsi="宋体" w:eastAsia="仿宋_GB2312" w:cstheme="minorBidi"/>
          <w:b/>
          <w:kern w:val="2"/>
          <w:sz w:val="30"/>
          <w:szCs w:val="30"/>
        </w:rPr>
        <w:t xml:space="preserve"> </w:t>
      </w:r>
      <w:r>
        <w:rPr>
          <w:rFonts w:hint="eastAsia" w:ascii="宋体" w:hAnsi="宋体" w:eastAsia="仿宋_GB2312" w:cstheme="minorBidi"/>
          <w:b/>
          <w:kern w:val="2"/>
          <w:sz w:val="30"/>
          <w:szCs w:val="30"/>
        </w:rPr>
        <w:t>宝坻区“十五五”时期经济社会发展主要指标表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46"/>
        <w:gridCol w:w="1276"/>
        <w:gridCol w:w="2499"/>
        <w:gridCol w:w="1531"/>
        <w:gridCol w:w="1560"/>
        <w:gridCol w:w="1043"/>
      </w:tblGrid>
      <w:tr w14:paraId="531F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004" w:hRule="atLeast"/>
          <w:tblHeader/>
        </w:trPr>
        <w:tc>
          <w:tcPr>
            <w:tcW w:w="846" w:type="dxa"/>
            <w:vAlign w:val="center"/>
          </w:tcPr>
          <w:p w14:paraId="7302F82C">
            <w:pPr>
              <w:widowControl/>
              <w:spacing w:line="240" w:lineRule="auto"/>
              <w:ind w:firstLine="0" w:firstLineChars="0"/>
              <w:jc w:val="center"/>
              <w:rPr>
                <w:rFonts w:eastAsia="黑体" w:cs="宋体"/>
                <w:color w:val="000000"/>
                <w:kern w:val="0"/>
                <w:sz w:val="28"/>
                <w:szCs w:val="28"/>
              </w:rPr>
            </w:pPr>
            <w:r>
              <w:rPr>
                <w:rFonts w:hint="eastAsia" w:eastAsia="黑体" w:cs="宋体"/>
                <w:color w:val="000000"/>
                <w:kern w:val="0"/>
                <w:sz w:val="28"/>
                <w:szCs w:val="28"/>
              </w:rPr>
              <w:t>序号</w:t>
            </w:r>
          </w:p>
        </w:tc>
        <w:tc>
          <w:tcPr>
            <w:tcW w:w="3775" w:type="dxa"/>
            <w:gridSpan w:val="2"/>
            <w:vAlign w:val="center"/>
          </w:tcPr>
          <w:p w14:paraId="7462412B">
            <w:pPr>
              <w:widowControl/>
              <w:spacing w:line="240" w:lineRule="auto"/>
              <w:ind w:firstLine="0" w:firstLineChars="0"/>
              <w:jc w:val="center"/>
              <w:rPr>
                <w:rFonts w:eastAsia="黑体" w:cs="宋体"/>
                <w:color w:val="000000"/>
                <w:kern w:val="0"/>
                <w:sz w:val="28"/>
                <w:szCs w:val="28"/>
              </w:rPr>
            </w:pPr>
            <w:r>
              <w:rPr>
                <w:rFonts w:hint="eastAsia" w:eastAsia="黑体" w:cs="宋体"/>
                <w:color w:val="000000"/>
                <w:kern w:val="0"/>
                <w:sz w:val="28"/>
                <w:szCs w:val="28"/>
              </w:rPr>
              <w:t>指标</w:t>
            </w:r>
          </w:p>
        </w:tc>
        <w:tc>
          <w:tcPr>
            <w:tcW w:w="1531" w:type="dxa"/>
            <w:vAlign w:val="center"/>
          </w:tcPr>
          <w:p w14:paraId="6AE75679">
            <w:pPr>
              <w:widowControl/>
              <w:spacing w:line="240" w:lineRule="auto"/>
              <w:ind w:firstLine="0" w:firstLineChars="0"/>
              <w:jc w:val="center"/>
              <w:rPr>
                <w:rFonts w:eastAsia="黑体" w:cs="宋体"/>
                <w:color w:val="000000"/>
                <w:kern w:val="0"/>
                <w:sz w:val="28"/>
                <w:szCs w:val="28"/>
              </w:rPr>
            </w:pPr>
            <w:r>
              <w:rPr>
                <w:rFonts w:hint="eastAsia" w:eastAsia="黑体" w:cs="宋体"/>
                <w:color w:val="000000"/>
                <w:kern w:val="0"/>
                <w:sz w:val="28"/>
                <w:szCs w:val="28"/>
              </w:rPr>
              <w:t>2025年</w:t>
            </w:r>
          </w:p>
          <w:p w14:paraId="41B86D91">
            <w:pPr>
              <w:widowControl/>
              <w:spacing w:line="240" w:lineRule="auto"/>
              <w:ind w:firstLine="0" w:firstLineChars="0"/>
              <w:jc w:val="center"/>
              <w:rPr>
                <w:rFonts w:eastAsia="黑体" w:cs="宋体"/>
                <w:color w:val="000000"/>
                <w:kern w:val="0"/>
                <w:sz w:val="28"/>
                <w:szCs w:val="28"/>
              </w:rPr>
            </w:pPr>
            <w:r>
              <w:rPr>
                <w:rFonts w:hint="eastAsia" w:eastAsia="黑体" w:cs="宋体"/>
                <w:color w:val="000000"/>
                <w:kern w:val="0"/>
                <w:sz w:val="28"/>
                <w:szCs w:val="28"/>
              </w:rPr>
              <w:t>（预计）</w:t>
            </w:r>
          </w:p>
        </w:tc>
        <w:tc>
          <w:tcPr>
            <w:tcW w:w="1560" w:type="dxa"/>
            <w:vAlign w:val="center"/>
          </w:tcPr>
          <w:p w14:paraId="6A141621">
            <w:pPr>
              <w:widowControl/>
              <w:spacing w:line="240" w:lineRule="auto"/>
              <w:ind w:firstLine="0" w:firstLineChars="0"/>
              <w:jc w:val="center"/>
              <w:rPr>
                <w:rFonts w:eastAsia="黑体" w:cs="宋体"/>
                <w:color w:val="000000"/>
                <w:kern w:val="0"/>
                <w:sz w:val="28"/>
                <w:szCs w:val="28"/>
              </w:rPr>
            </w:pPr>
            <w:r>
              <w:rPr>
                <w:rFonts w:hint="eastAsia" w:eastAsia="黑体" w:cs="宋体"/>
                <w:color w:val="000000"/>
                <w:kern w:val="0"/>
                <w:sz w:val="28"/>
                <w:szCs w:val="28"/>
              </w:rPr>
              <w:t>2030年</w:t>
            </w:r>
          </w:p>
          <w:p w14:paraId="5A99129A">
            <w:pPr>
              <w:widowControl/>
              <w:spacing w:line="240" w:lineRule="auto"/>
              <w:ind w:firstLine="0" w:firstLineChars="0"/>
              <w:jc w:val="center"/>
              <w:rPr>
                <w:rFonts w:eastAsia="黑体" w:cs="宋体"/>
                <w:color w:val="000000"/>
                <w:kern w:val="0"/>
                <w:sz w:val="28"/>
                <w:szCs w:val="28"/>
              </w:rPr>
            </w:pPr>
            <w:r>
              <w:rPr>
                <w:rFonts w:hint="eastAsia" w:eastAsia="黑体" w:cs="宋体"/>
                <w:color w:val="000000"/>
                <w:kern w:val="0"/>
                <w:sz w:val="28"/>
                <w:szCs w:val="28"/>
              </w:rPr>
              <w:t>目标值</w:t>
            </w:r>
          </w:p>
        </w:tc>
        <w:tc>
          <w:tcPr>
            <w:tcW w:w="1043" w:type="dxa"/>
            <w:vAlign w:val="center"/>
          </w:tcPr>
          <w:p w14:paraId="6F45F89C">
            <w:pPr>
              <w:widowControl/>
              <w:spacing w:line="240" w:lineRule="auto"/>
              <w:ind w:firstLine="0" w:firstLineChars="0"/>
              <w:jc w:val="center"/>
              <w:rPr>
                <w:rFonts w:eastAsia="黑体" w:cs="宋体"/>
                <w:color w:val="000000"/>
                <w:kern w:val="0"/>
                <w:sz w:val="28"/>
                <w:szCs w:val="28"/>
              </w:rPr>
            </w:pPr>
            <w:r>
              <w:rPr>
                <w:rFonts w:hint="eastAsia" w:eastAsia="黑体" w:cs="宋体"/>
                <w:color w:val="000000"/>
                <w:kern w:val="0"/>
                <w:sz w:val="28"/>
                <w:szCs w:val="28"/>
              </w:rPr>
              <w:t>属性</w:t>
            </w:r>
          </w:p>
        </w:tc>
      </w:tr>
      <w:tr w14:paraId="5CD7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05" w:hRule="atLeast"/>
        </w:trPr>
        <w:tc>
          <w:tcPr>
            <w:tcW w:w="0" w:type="auto"/>
            <w:gridSpan w:val="6"/>
            <w:vAlign w:val="center"/>
          </w:tcPr>
          <w:p w14:paraId="580328D6">
            <w:pPr>
              <w:widowControl/>
              <w:spacing w:line="240" w:lineRule="auto"/>
              <w:ind w:firstLine="0" w:firstLineChars="0"/>
              <w:jc w:val="center"/>
              <w:rPr>
                <w:rFonts w:eastAsia="黑体" w:cs="宋体"/>
                <w:color w:val="000000"/>
                <w:kern w:val="0"/>
                <w:sz w:val="28"/>
                <w:szCs w:val="28"/>
              </w:rPr>
            </w:pPr>
            <w:r>
              <w:rPr>
                <w:rFonts w:hint="eastAsia" w:eastAsia="黑体" w:cs="宋体"/>
                <w:color w:val="000000"/>
                <w:kern w:val="0"/>
                <w:sz w:val="28"/>
                <w:szCs w:val="28"/>
              </w:rPr>
              <w:t>高质量发展（</w:t>
            </w:r>
            <w:r>
              <w:rPr>
                <w:rFonts w:eastAsia="黑体" w:cs="宋体"/>
                <w:color w:val="000000"/>
                <w:kern w:val="0"/>
                <w:sz w:val="28"/>
                <w:szCs w:val="28"/>
              </w:rPr>
              <w:t>2</w:t>
            </w:r>
            <w:r>
              <w:rPr>
                <w:rFonts w:hint="eastAsia" w:eastAsia="黑体" w:cs="宋体"/>
                <w:color w:val="000000"/>
                <w:kern w:val="0"/>
                <w:sz w:val="28"/>
                <w:szCs w:val="28"/>
              </w:rPr>
              <w:t>个）</w:t>
            </w:r>
          </w:p>
        </w:tc>
      </w:tr>
      <w:tr w14:paraId="18F7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Align w:val="center"/>
          </w:tcPr>
          <w:p w14:paraId="6292061E">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1</w:t>
            </w:r>
          </w:p>
        </w:tc>
        <w:tc>
          <w:tcPr>
            <w:tcW w:w="3775" w:type="dxa"/>
            <w:gridSpan w:val="2"/>
            <w:vAlign w:val="center"/>
          </w:tcPr>
          <w:p w14:paraId="4DF48D8E">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地区生产总值增长（%）</w:t>
            </w:r>
          </w:p>
        </w:tc>
        <w:tc>
          <w:tcPr>
            <w:tcW w:w="1531" w:type="dxa"/>
            <w:vAlign w:val="center"/>
          </w:tcPr>
          <w:p w14:paraId="3D6504F1">
            <w:pPr>
              <w:widowControl/>
              <w:spacing w:line="240" w:lineRule="auto"/>
              <w:ind w:firstLine="0" w:firstLineChars="0"/>
              <w:jc w:val="center"/>
              <w:rPr>
                <w:rFonts w:cs="宋体"/>
                <w:color w:val="000000"/>
                <w:kern w:val="0"/>
                <w:sz w:val="28"/>
                <w:szCs w:val="28"/>
              </w:rPr>
            </w:pPr>
            <w:r>
              <w:rPr>
                <w:rFonts w:cs="宋体"/>
                <w:color w:val="000000"/>
                <w:kern w:val="0"/>
                <w:sz w:val="28"/>
                <w:szCs w:val="28"/>
              </w:rPr>
              <w:t>3.8</w:t>
            </w:r>
            <w:r>
              <w:rPr>
                <w:rFonts w:cs="宋体"/>
                <w:color w:val="000000"/>
                <w:kern w:val="0"/>
                <w:position w:val="6"/>
                <w:sz w:val="28"/>
                <w:szCs w:val="28"/>
              </w:rPr>
              <w:t>*</w:t>
            </w:r>
          </w:p>
        </w:tc>
        <w:tc>
          <w:tcPr>
            <w:tcW w:w="1560" w:type="dxa"/>
            <w:vAlign w:val="center"/>
          </w:tcPr>
          <w:p w14:paraId="1005B98D">
            <w:pPr>
              <w:widowControl/>
              <w:spacing w:line="240" w:lineRule="auto"/>
              <w:ind w:firstLine="0" w:firstLineChars="0"/>
              <w:jc w:val="center"/>
              <w:rPr>
                <w:rFonts w:cs="宋体"/>
                <w:color w:val="000000"/>
                <w:kern w:val="0"/>
                <w:sz w:val="28"/>
                <w:szCs w:val="28"/>
              </w:rPr>
            </w:pPr>
            <w:r>
              <w:rPr>
                <w:rFonts w:cs="宋体"/>
                <w:color w:val="000000"/>
                <w:kern w:val="0"/>
                <w:sz w:val="28"/>
                <w:szCs w:val="28"/>
              </w:rPr>
              <w:t>4.5</w:t>
            </w:r>
            <w:r>
              <w:rPr>
                <w:rFonts w:cs="宋体"/>
                <w:color w:val="000000"/>
                <w:kern w:val="0"/>
                <w:position w:val="6"/>
                <w:sz w:val="28"/>
                <w:szCs w:val="28"/>
              </w:rPr>
              <w:t>*</w:t>
            </w:r>
            <w:r>
              <w:rPr>
                <w:rFonts w:hint="eastAsia" w:eastAsia="宋体"/>
                <w:sz w:val="28"/>
                <w:szCs w:val="28"/>
              </w:rPr>
              <w:t>—</w:t>
            </w:r>
            <w:r>
              <w:rPr>
                <w:rFonts w:cs="宋体"/>
                <w:color w:val="000000"/>
                <w:kern w:val="0"/>
                <w:sz w:val="28"/>
                <w:szCs w:val="28"/>
              </w:rPr>
              <w:t>5</w:t>
            </w:r>
            <w:r>
              <w:rPr>
                <w:rFonts w:cs="宋体"/>
                <w:color w:val="000000"/>
                <w:kern w:val="0"/>
                <w:position w:val="6"/>
                <w:sz w:val="28"/>
                <w:szCs w:val="28"/>
              </w:rPr>
              <w:t>*</w:t>
            </w:r>
          </w:p>
        </w:tc>
        <w:tc>
          <w:tcPr>
            <w:tcW w:w="1043" w:type="dxa"/>
            <w:vAlign w:val="center"/>
          </w:tcPr>
          <w:p w14:paraId="5A88F848">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预期性</w:t>
            </w:r>
          </w:p>
        </w:tc>
      </w:tr>
      <w:tr w14:paraId="43AF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Merge w:val="restart"/>
            <w:vAlign w:val="center"/>
          </w:tcPr>
          <w:p w14:paraId="13F18623">
            <w:pPr>
              <w:widowControl/>
              <w:spacing w:line="240" w:lineRule="auto"/>
              <w:ind w:firstLine="0" w:firstLineChars="0"/>
              <w:jc w:val="center"/>
              <w:rPr>
                <w:rFonts w:cs="宋体"/>
                <w:color w:val="000000"/>
                <w:kern w:val="0"/>
                <w:sz w:val="28"/>
                <w:szCs w:val="28"/>
              </w:rPr>
            </w:pPr>
            <w:r>
              <w:rPr>
                <w:rFonts w:cs="宋体"/>
                <w:color w:val="000000"/>
                <w:kern w:val="0"/>
                <w:sz w:val="28"/>
                <w:szCs w:val="28"/>
              </w:rPr>
              <w:t>2</w:t>
            </w:r>
          </w:p>
        </w:tc>
        <w:tc>
          <w:tcPr>
            <w:tcW w:w="3775" w:type="dxa"/>
            <w:gridSpan w:val="2"/>
            <w:vAlign w:val="center"/>
          </w:tcPr>
          <w:p w14:paraId="775B6FDC">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全区技术合同成交额（亿元）</w:t>
            </w:r>
          </w:p>
        </w:tc>
        <w:tc>
          <w:tcPr>
            <w:tcW w:w="1531" w:type="dxa"/>
            <w:vAlign w:val="center"/>
          </w:tcPr>
          <w:p w14:paraId="3159544C">
            <w:pPr>
              <w:widowControl/>
              <w:spacing w:line="240" w:lineRule="auto"/>
              <w:ind w:firstLine="0" w:firstLineChars="0"/>
              <w:jc w:val="center"/>
              <w:rPr>
                <w:rFonts w:cs="宋体"/>
                <w:color w:val="000000"/>
                <w:kern w:val="0"/>
                <w:sz w:val="28"/>
                <w:szCs w:val="28"/>
              </w:rPr>
            </w:pPr>
            <w:r>
              <w:rPr>
                <w:rFonts w:cs="宋体"/>
                <w:color w:val="000000"/>
                <w:kern w:val="0"/>
                <w:sz w:val="28"/>
                <w:szCs w:val="28"/>
              </w:rPr>
              <w:t>42</w:t>
            </w:r>
          </w:p>
        </w:tc>
        <w:tc>
          <w:tcPr>
            <w:tcW w:w="1560" w:type="dxa"/>
            <w:vAlign w:val="center"/>
          </w:tcPr>
          <w:p w14:paraId="2E45BA34">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60</w:t>
            </w:r>
          </w:p>
        </w:tc>
        <w:tc>
          <w:tcPr>
            <w:tcW w:w="1043" w:type="dxa"/>
            <w:vMerge w:val="restart"/>
            <w:vAlign w:val="center"/>
          </w:tcPr>
          <w:p w14:paraId="063C727C">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预期性</w:t>
            </w:r>
          </w:p>
        </w:tc>
      </w:tr>
      <w:tr w14:paraId="604E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Merge w:val="continue"/>
            <w:vAlign w:val="center"/>
          </w:tcPr>
          <w:p w14:paraId="5E5323A1">
            <w:pPr>
              <w:widowControl/>
              <w:spacing w:line="240" w:lineRule="auto"/>
              <w:ind w:firstLine="0" w:firstLineChars="0"/>
              <w:jc w:val="center"/>
              <w:rPr>
                <w:rFonts w:cs="宋体"/>
                <w:color w:val="000000"/>
                <w:kern w:val="0"/>
                <w:sz w:val="28"/>
                <w:szCs w:val="28"/>
              </w:rPr>
            </w:pPr>
          </w:p>
        </w:tc>
        <w:tc>
          <w:tcPr>
            <w:tcW w:w="3775" w:type="dxa"/>
            <w:gridSpan w:val="2"/>
            <w:vAlign w:val="center"/>
          </w:tcPr>
          <w:p w14:paraId="55473AA9">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其中，与京冀技术合同成交额</w:t>
            </w:r>
          </w:p>
          <w:p w14:paraId="7CDEB6B8">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（亿元）</w:t>
            </w:r>
          </w:p>
        </w:tc>
        <w:tc>
          <w:tcPr>
            <w:tcW w:w="1531" w:type="dxa"/>
            <w:vAlign w:val="center"/>
          </w:tcPr>
          <w:p w14:paraId="642FA3A2">
            <w:pPr>
              <w:widowControl/>
              <w:spacing w:line="240" w:lineRule="auto"/>
              <w:ind w:firstLine="0" w:firstLineChars="0"/>
              <w:jc w:val="center"/>
              <w:rPr>
                <w:rFonts w:cs="宋体"/>
                <w:color w:val="000000"/>
                <w:kern w:val="0"/>
                <w:sz w:val="28"/>
                <w:szCs w:val="28"/>
              </w:rPr>
            </w:pPr>
            <w:r>
              <w:rPr>
                <w:rFonts w:cs="宋体"/>
                <w:color w:val="000000"/>
                <w:kern w:val="0"/>
                <w:sz w:val="28"/>
                <w:szCs w:val="28"/>
              </w:rPr>
              <w:t>15</w:t>
            </w:r>
          </w:p>
        </w:tc>
        <w:tc>
          <w:tcPr>
            <w:tcW w:w="1560" w:type="dxa"/>
            <w:vAlign w:val="center"/>
          </w:tcPr>
          <w:p w14:paraId="2CA4A2F0">
            <w:pPr>
              <w:widowControl/>
              <w:spacing w:line="240" w:lineRule="auto"/>
              <w:ind w:firstLine="0" w:firstLineChars="0"/>
              <w:jc w:val="center"/>
              <w:rPr>
                <w:rFonts w:cs="宋体"/>
                <w:color w:val="000000"/>
                <w:kern w:val="0"/>
                <w:sz w:val="28"/>
                <w:szCs w:val="28"/>
              </w:rPr>
            </w:pPr>
            <w:r>
              <w:rPr>
                <w:rFonts w:cs="宋体"/>
                <w:color w:val="000000"/>
                <w:kern w:val="0"/>
                <w:sz w:val="28"/>
                <w:szCs w:val="28"/>
              </w:rPr>
              <w:t>20</w:t>
            </w:r>
          </w:p>
        </w:tc>
        <w:tc>
          <w:tcPr>
            <w:tcW w:w="1043" w:type="dxa"/>
            <w:vMerge w:val="continue"/>
            <w:vAlign w:val="center"/>
          </w:tcPr>
          <w:p w14:paraId="36C75CC1">
            <w:pPr>
              <w:widowControl/>
              <w:spacing w:line="240" w:lineRule="auto"/>
              <w:ind w:firstLine="0" w:firstLineChars="0"/>
              <w:jc w:val="center"/>
              <w:rPr>
                <w:rFonts w:cs="宋体"/>
                <w:color w:val="000000"/>
                <w:kern w:val="0"/>
                <w:sz w:val="28"/>
                <w:szCs w:val="28"/>
              </w:rPr>
            </w:pPr>
          </w:p>
        </w:tc>
      </w:tr>
      <w:tr w14:paraId="2A62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05" w:hRule="atLeast"/>
        </w:trPr>
        <w:tc>
          <w:tcPr>
            <w:tcW w:w="0" w:type="auto"/>
            <w:gridSpan w:val="6"/>
            <w:vAlign w:val="center"/>
          </w:tcPr>
          <w:p w14:paraId="7A147E73">
            <w:pPr>
              <w:widowControl/>
              <w:spacing w:line="240" w:lineRule="auto"/>
              <w:ind w:firstLine="0" w:firstLineChars="0"/>
              <w:jc w:val="center"/>
              <w:rPr>
                <w:rFonts w:cs="宋体"/>
                <w:color w:val="000000"/>
                <w:kern w:val="0"/>
                <w:sz w:val="28"/>
                <w:szCs w:val="28"/>
              </w:rPr>
            </w:pPr>
            <w:r>
              <w:rPr>
                <w:rFonts w:hint="eastAsia" w:eastAsia="黑体" w:cs="宋体"/>
                <w:color w:val="000000"/>
                <w:kern w:val="0"/>
                <w:sz w:val="28"/>
                <w:szCs w:val="28"/>
              </w:rPr>
              <w:t>科技创新（4个）</w:t>
            </w:r>
          </w:p>
        </w:tc>
      </w:tr>
      <w:tr w14:paraId="76A6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Align w:val="center"/>
          </w:tcPr>
          <w:p w14:paraId="4EC68477">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3</w:t>
            </w:r>
          </w:p>
        </w:tc>
        <w:tc>
          <w:tcPr>
            <w:tcW w:w="3775" w:type="dxa"/>
            <w:gridSpan w:val="2"/>
            <w:vAlign w:val="center"/>
          </w:tcPr>
          <w:p w14:paraId="56D05484">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全社会研发经费投入强度（%）</w:t>
            </w:r>
          </w:p>
        </w:tc>
        <w:tc>
          <w:tcPr>
            <w:tcW w:w="1531" w:type="dxa"/>
            <w:vAlign w:val="center"/>
          </w:tcPr>
          <w:p w14:paraId="5F01A1FE">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2.35</w:t>
            </w:r>
          </w:p>
        </w:tc>
        <w:tc>
          <w:tcPr>
            <w:tcW w:w="1560" w:type="dxa"/>
            <w:vAlign w:val="center"/>
          </w:tcPr>
          <w:p w14:paraId="3E6ED916">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2.45</w:t>
            </w:r>
          </w:p>
        </w:tc>
        <w:tc>
          <w:tcPr>
            <w:tcW w:w="1043" w:type="dxa"/>
            <w:vAlign w:val="center"/>
          </w:tcPr>
          <w:p w14:paraId="2FAB770A">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预期性</w:t>
            </w:r>
          </w:p>
        </w:tc>
      </w:tr>
      <w:tr w14:paraId="5F9B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Align w:val="center"/>
          </w:tcPr>
          <w:p w14:paraId="7E603B65">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4</w:t>
            </w:r>
          </w:p>
        </w:tc>
        <w:tc>
          <w:tcPr>
            <w:tcW w:w="3775" w:type="dxa"/>
            <w:gridSpan w:val="2"/>
            <w:vAlign w:val="center"/>
          </w:tcPr>
          <w:p w14:paraId="705E02B6">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每万人口高价值发明专利拥有量（件）</w:t>
            </w:r>
          </w:p>
        </w:tc>
        <w:tc>
          <w:tcPr>
            <w:tcW w:w="1531" w:type="dxa"/>
            <w:vAlign w:val="center"/>
          </w:tcPr>
          <w:p w14:paraId="1FCFB629">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1</w:t>
            </w:r>
            <w:r>
              <w:rPr>
                <w:rFonts w:cs="宋体"/>
                <w:color w:val="000000"/>
                <w:kern w:val="0"/>
                <w:sz w:val="28"/>
                <w:szCs w:val="28"/>
              </w:rPr>
              <w:t>5</w:t>
            </w:r>
          </w:p>
        </w:tc>
        <w:tc>
          <w:tcPr>
            <w:tcW w:w="1560" w:type="dxa"/>
            <w:vAlign w:val="center"/>
          </w:tcPr>
          <w:p w14:paraId="224D17E1">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2</w:t>
            </w:r>
            <w:r>
              <w:rPr>
                <w:rFonts w:cs="宋体"/>
                <w:color w:val="000000"/>
                <w:kern w:val="0"/>
                <w:sz w:val="28"/>
                <w:szCs w:val="28"/>
              </w:rPr>
              <w:t>3</w:t>
            </w:r>
          </w:p>
        </w:tc>
        <w:tc>
          <w:tcPr>
            <w:tcW w:w="1043" w:type="dxa"/>
            <w:vAlign w:val="center"/>
          </w:tcPr>
          <w:p w14:paraId="2C427248">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预期性</w:t>
            </w:r>
          </w:p>
        </w:tc>
      </w:tr>
      <w:tr w14:paraId="1902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Align w:val="center"/>
          </w:tcPr>
          <w:p w14:paraId="44FB4237">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5</w:t>
            </w:r>
          </w:p>
        </w:tc>
        <w:tc>
          <w:tcPr>
            <w:tcW w:w="3775" w:type="dxa"/>
            <w:gridSpan w:val="2"/>
            <w:vAlign w:val="center"/>
          </w:tcPr>
          <w:p w14:paraId="6172A39C">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规模以上企业中高新技术企业占比（%）</w:t>
            </w:r>
          </w:p>
        </w:tc>
        <w:tc>
          <w:tcPr>
            <w:tcW w:w="1531" w:type="dxa"/>
            <w:vAlign w:val="center"/>
          </w:tcPr>
          <w:p w14:paraId="06A13911">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30</w:t>
            </w:r>
          </w:p>
        </w:tc>
        <w:tc>
          <w:tcPr>
            <w:tcW w:w="1560" w:type="dxa"/>
            <w:vAlign w:val="center"/>
          </w:tcPr>
          <w:p w14:paraId="07B03029">
            <w:pPr>
              <w:widowControl/>
              <w:spacing w:line="240" w:lineRule="auto"/>
              <w:ind w:firstLine="0" w:firstLineChars="0"/>
              <w:jc w:val="center"/>
              <w:rPr>
                <w:rFonts w:cs="宋体"/>
                <w:color w:val="000000"/>
                <w:kern w:val="0"/>
                <w:sz w:val="28"/>
                <w:szCs w:val="28"/>
              </w:rPr>
            </w:pPr>
            <w:r>
              <w:rPr>
                <w:rFonts w:cs="宋体"/>
                <w:color w:val="000000"/>
                <w:kern w:val="0"/>
                <w:sz w:val="28"/>
                <w:szCs w:val="28"/>
              </w:rPr>
              <w:t>40</w:t>
            </w:r>
          </w:p>
        </w:tc>
        <w:tc>
          <w:tcPr>
            <w:tcW w:w="1043" w:type="dxa"/>
            <w:vAlign w:val="center"/>
          </w:tcPr>
          <w:p w14:paraId="350F893C">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预期性</w:t>
            </w:r>
          </w:p>
        </w:tc>
      </w:tr>
      <w:tr w14:paraId="1C94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Align w:val="center"/>
          </w:tcPr>
          <w:p w14:paraId="77C4E75A">
            <w:pPr>
              <w:widowControl/>
              <w:spacing w:line="240" w:lineRule="auto"/>
              <w:ind w:firstLine="0" w:firstLineChars="0"/>
              <w:jc w:val="center"/>
              <w:rPr>
                <w:rFonts w:cs="宋体"/>
                <w:color w:val="000000"/>
                <w:kern w:val="0"/>
                <w:sz w:val="28"/>
                <w:szCs w:val="28"/>
              </w:rPr>
            </w:pPr>
            <w:r>
              <w:rPr>
                <w:rFonts w:cs="宋体"/>
                <w:color w:val="000000"/>
                <w:kern w:val="0"/>
                <w:sz w:val="28"/>
                <w:szCs w:val="28"/>
              </w:rPr>
              <w:t>6</w:t>
            </w:r>
          </w:p>
        </w:tc>
        <w:tc>
          <w:tcPr>
            <w:tcW w:w="3775" w:type="dxa"/>
            <w:gridSpan w:val="2"/>
            <w:vAlign w:val="center"/>
          </w:tcPr>
          <w:p w14:paraId="7F5331C3">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工业战略性新兴产业总产值占工业总产值比重（%）</w:t>
            </w:r>
          </w:p>
        </w:tc>
        <w:tc>
          <w:tcPr>
            <w:tcW w:w="1531" w:type="dxa"/>
            <w:vAlign w:val="center"/>
          </w:tcPr>
          <w:p w14:paraId="41FBE9B1">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3</w:t>
            </w:r>
            <w:r>
              <w:rPr>
                <w:rFonts w:cs="宋体"/>
                <w:color w:val="000000"/>
                <w:kern w:val="0"/>
                <w:sz w:val="28"/>
                <w:szCs w:val="28"/>
              </w:rPr>
              <w:t>2</w:t>
            </w:r>
          </w:p>
        </w:tc>
        <w:tc>
          <w:tcPr>
            <w:tcW w:w="1560" w:type="dxa"/>
            <w:vAlign w:val="center"/>
          </w:tcPr>
          <w:p w14:paraId="04E521CB">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3</w:t>
            </w:r>
            <w:r>
              <w:rPr>
                <w:rFonts w:cs="宋体"/>
                <w:color w:val="000000"/>
                <w:kern w:val="0"/>
                <w:sz w:val="28"/>
                <w:szCs w:val="28"/>
              </w:rPr>
              <w:t>5</w:t>
            </w:r>
          </w:p>
        </w:tc>
        <w:tc>
          <w:tcPr>
            <w:tcW w:w="1043" w:type="dxa"/>
            <w:vAlign w:val="center"/>
          </w:tcPr>
          <w:p w14:paraId="407E8E1D">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预期性</w:t>
            </w:r>
          </w:p>
        </w:tc>
      </w:tr>
      <w:tr w14:paraId="3CFF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05" w:hRule="atLeast"/>
        </w:trPr>
        <w:tc>
          <w:tcPr>
            <w:tcW w:w="0" w:type="auto"/>
            <w:gridSpan w:val="6"/>
            <w:vAlign w:val="center"/>
          </w:tcPr>
          <w:p w14:paraId="19CFE53B">
            <w:pPr>
              <w:widowControl/>
              <w:spacing w:line="240" w:lineRule="auto"/>
              <w:ind w:firstLine="0" w:firstLineChars="0"/>
              <w:jc w:val="center"/>
              <w:rPr>
                <w:rFonts w:cs="宋体"/>
                <w:color w:val="000000"/>
                <w:kern w:val="0"/>
                <w:sz w:val="28"/>
                <w:szCs w:val="28"/>
              </w:rPr>
            </w:pPr>
            <w:r>
              <w:rPr>
                <w:rFonts w:hint="eastAsia" w:eastAsia="黑体" w:cs="宋体"/>
                <w:color w:val="000000"/>
                <w:kern w:val="0"/>
                <w:sz w:val="28"/>
                <w:szCs w:val="28"/>
              </w:rPr>
              <w:t>改革开放（1个）</w:t>
            </w:r>
          </w:p>
        </w:tc>
      </w:tr>
      <w:tr w14:paraId="2145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Align w:val="center"/>
          </w:tcPr>
          <w:p w14:paraId="4FB538F8">
            <w:pPr>
              <w:widowControl/>
              <w:spacing w:line="240" w:lineRule="auto"/>
              <w:ind w:firstLine="0" w:firstLineChars="0"/>
              <w:jc w:val="center"/>
              <w:rPr>
                <w:rFonts w:cs="宋体"/>
                <w:color w:val="000000"/>
                <w:kern w:val="0"/>
                <w:sz w:val="28"/>
                <w:szCs w:val="28"/>
              </w:rPr>
            </w:pPr>
            <w:r>
              <w:rPr>
                <w:rFonts w:cs="宋体"/>
                <w:color w:val="000000"/>
                <w:kern w:val="0"/>
                <w:sz w:val="28"/>
                <w:szCs w:val="28"/>
              </w:rPr>
              <w:t>7</w:t>
            </w:r>
          </w:p>
        </w:tc>
        <w:tc>
          <w:tcPr>
            <w:tcW w:w="3775" w:type="dxa"/>
            <w:gridSpan w:val="2"/>
            <w:vAlign w:val="center"/>
          </w:tcPr>
          <w:p w14:paraId="1F9C592F">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外贸进出口额增速（%）</w:t>
            </w:r>
          </w:p>
        </w:tc>
        <w:tc>
          <w:tcPr>
            <w:tcW w:w="1531" w:type="dxa"/>
            <w:vAlign w:val="center"/>
          </w:tcPr>
          <w:p w14:paraId="37538D32">
            <w:pPr>
              <w:widowControl/>
              <w:spacing w:line="240" w:lineRule="auto"/>
              <w:ind w:firstLine="0" w:firstLineChars="0"/>
              <w:jc w:val="center"/>
              <w:rPr>
                <w:rFonts w:cs="宋体"/>
                <w:color w:val="000000"/>
                <w:kern w:val="0"/>
                <w:sz w:val="28"/>
                <w:szCs w:val="28"/>
              </w:rPr>
            </w:pPr>
            <w:r>
              <w:rPr>
                <w:rFonts w:cs="宋体"/>
                <w:color w:val="000000"/>
                <w:kern w:val="0"/>
                <w:sz w:val="28"/>
                <w:szCs w:val="28"/>
              </w:rPr>
              <w:t>9.6</w:t>
            </w:r>
            <w:r>
              <w:rPr>
                <w:rFonts w:cs="宋体"/>
                <w:color w:val="000000"/>
                <w:kern w:val="0"/>
                <w:position w:val="6"/>
                <w:sz w:val="28"/>
                <w:szCs w:val="28"/>
              </w:rPr>
              <w:t>*</w:t>
            </w:r>
          </w:p>
        </w:tc>
        <w:tc>
          <w:tcPr>
            <w:tcW w:w="1560" w:type="dxa"/>
            <w:vAlign w:val="center"/>
          </w:tcPr>
          <w:p w14:paraId="1437E3CC">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2</w:t>
            </w:r>
            <w:r>
              <w:rPr>
                <w:rFonts w:cs="宋体"/>
                <w:color w:val="000000"/>
                <w:kern w:val="0"/>
                <w:position w:val="6"/>
                <w:sz w:val="28"/>
                <w:szCs w:val="28"/>
              </w:rPr>
              <w:t>*</w:t>
            </w:r>
          </w:p>
        </w:tc>
        <w:tc>
          <w:tcPr>
            <w:tcW w:w="1043" w:type="dxa"/>
            <w:vAlign w:val="center"/>
          </w:tcPr>
          <w:p w14:paraId="549C2A5F">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预期性</w:t>
            </w:r>
          </w:p>
        </w:tc>
      </w:tr>
      <w:tr w14:paraId="788B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05" w:hRule="atLeast"/>
        </w:trPr>
        <w:tc>
          <w:tcPr>
            <w:tcW w:w="0" w:type="auto"/>
            <w:gridSpan w:val="6"/>
            <w:vAlign w:val="center"/>
          </w:tcPr>
          <w:p w14:paraId="1CC54869">
            <w:pPr>
              <w:widowControl/>
              <w:spacing w:line="240" w:lineRule="auto"/>
              <w:ind w:firstLine="0" w:firstLineChars="0"/>
              <w:jc w:val="center"/>
              <w:rPr>
                <w:rFonts w:cs="宋体"/>
                <w:color w:val="000000"/>
                <w:kern w:val="0"/>
                <w:sz w:val="28"/>
                <w:szCs w:val="28"/>
              </w:rPr>
            </w:pPr>
            <w:r>
              <w:rPr>
                <w:rFonts w:hint="eastAsia" w:eastAsia="黑体" w:cs="宋体"/>
                <w:color w:val="000000"/>
                <w:kern w:val="0"/>
                <w:sz w:val="28"/>
                <w:szCs w:val="28"/>
              </w:rPr>
              <w:t>生活品质（</w:t>
            </w:r>
            <w:r>
              <w:rPr>
                <w:rFonts w:eastAsia="黑体" w:cs="宋体"/>
                <w:color w:val="000000"/>
                <w:kern w:val="0"/>
                <w:sz w:val="28"/>
                <w:szCs w:val="28"/>
              </w:rPr>
              <w:t>5</w:t>
            </w:r>
            <w:r>
              <w:rPr>
                <w:rFonts w:hint="eastAsia" w:eastAsia="黑体" w:cs="宋体"/>
                <w:color w:val="000000"/>
                <w:kern w:val="0"/>
                <w:sz w:val="28"/>
                <w:szCs w:val="28"/>
              </w:rPr>
              <w:t>个）</w:t>
            </w:r>
          </w:p>
        </w:tc>
      </w:tr>
      <w:tr w14:paraId="3F78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Align w:val="center"/>
          </w:tcPr>
          <w:p w14:paraId="2DB22773">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8</w:t>
            </w:r>
          </w:p>
        </w:tc>
        <w:tc>
          <w:tcPr>
            <w:tcW w:w="3775" w:type="dxa"/>
            <w:gridSpan w:val="2"/>
            <w:vAlign w:val="center"/>
          </w:tcPr>
          <w:p w14:paraId="135E7DA1">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居民人均可支配收入增长（%）</w:t>
            </w:r>
          </w:p>
        </w:tc>
        <w:tc>
          <w:tcPr>
            <w:tcW w:w="1531" w:type="dxa"/>
            <w:vAlign w:val="center"/>
          </w:tcPr>
          <w:p w14:paraId="3BF4E4E4">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5</w:t>
            </w:r>
            <w:r>
              <w:rPr>
                <w:rFonts w:cs="宋体"/>
                <w:color w:val="000000"/>
                <w:kern w:val="0"/>
                <w:sz w:val="28"/>
                <w:szCs w:val="28"/>
              </w:rPr>
              <w:t>.4</w:t>
            </w:r>
            <w:r>
              <w:rPr>
                <w:rFonts w:cs="宋体"/>
                <w:color w:val="000000"/>
                <w:kern w:val="0"/>
                <w:position w:val="6"/>
                <w:sz w:val="28"/>
                <w:szCs w:val="28"/>
              </w:rPr>
              <w:t>*</w:t>
            </w:r>
          </w:p>
        </w:tc>
        <w:tc>
          <w:tcPr>
            <w:tcW w:w="1560" w:type="dxa"/>
            <w:vAlign w:val="center"/>
          </w:tcPr>
          <w:p w14:paraId="75456755">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与经济增长同步</w:t>
            </w:r>
          </w:p>
        </w:tc>
        <w:tc>
          <w:tcPr>
            <w:tcW w:w="1043" w:type="dxa"/>
            <w:vAlign w:val="center"/>
          </w:tcPr>
          <w:p w14:paraId="2DCA54BC">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预期性</w:t>
            </w:r>
          </w:p>
        </w:tc>
      </w:tr>
      <w:tr w14:paraId="17BA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Align w:val="center"/>
          </w:tcPr>
          <w:p w14:paraId="219744F7">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9</w:t>
            </w:r>
          </w:p>
        </w:tc>
        <w:tc>
          <w:tcPr>
            <w:tcW w:w="3775" w:type="dxa"/>
            <w:gridSpan w:val="2"/>
            <w:vAlign w:val="center"/>
          </w:tcPr>
          <w:p w14:paraId="6410267C">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城镇调查失业率（%）</w:t>
            </w:r>
          </w:p>
        </w:tc>
        <w:tc>
          <w:tcPr>
            <w:tcW w:w="1531" w:type="dxa"/>
            <w:vAlign w:val="center"/>
          </w:tcPr>
          <w:p w14:paraId="7C50AAC0">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5</w:t>
            </w:r>
            <w:r>
              <w:rPr>
                <w:rFonts w:cs="宋体"/>
                <w:color w:val="000000"/>
                <w:kern w:val="0"/>
                <w:sz w:val="28"/>
                <w:szCs w:val="28"/>
              </w:rPr>
              <w:t>.2</w:t>
            </w:r>
          </w:p>
        </w:tc>
        <w:tc>
          <w:tcPr>
            <w:tcW w:w="1560" w:type="dxa"/>
            <w:vAlign w:val="center"/>
          </w:tcPr>
          <w:p w14:paraId="7BEEF03C">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5.5以内</w:t>
            </w:r>
          </w:p>
        </w:tc>
        <w:tc>
          <w:tcPr>
            <w:tcW w:w="1043" w:type="dxa"/>
            <w:vAlign w:val="center"/>
          </w:tcPr>
          <w:p w14:paraId="354B853A">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预期性</w:t>
            </w:r>
          </w:p>
        </w:tc>
      </w:tr>
      <w:tr w14:paraId="68B1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Align w:val="center"/>
          </w:tcPr>
          <w:p w14:paraId="459177F4">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10</w:t>
            </w:r>
          </w:p>
        </w:tc>
        <w:tc>
          <w:tcPr>
            <w:tcW w:w="3775" w:type="dxa"/>
            <w:gridSpan w:val="2"/>
            <w:vAlign w:val="center"/>
          </w:tcPr>
          <w:p w14:paraId="74F56494">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人均预期寿命（岁）</w:t>
            </w:r>
          </w:p>
        </w:tc>
        <w:tc>
          <w:tcPr>
            <w:tcW w:w="1531" w:type="dxa"/>
            <w:vAlign w:val="center"/>
          </w:tcPr>
          <w:p w14:paraId="7C1B1F2E">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8</w:t>
            </w:r>
            <w:r>
              <w:rPr>
                <w:rFonts w:cs="宋体"/>
                <w:color w:val="000000"/>
                <w:kern w:val="0"/>
                <w:sz w:val="28"/>
                <w:szCs w:val="28"/>
              </w:rPr>
              <w:t>2.6</w:t>
            </w:r>
          </w:p>
        </w:tc>
        <w:tc>
          <w:tcPr>
            <w:tcW w:w="1560" w:type="dxa"/>
            <w:vAlign w:val="center"/>
          </w:tcPr>
          <w:p w14:paraId="182AFEBE">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8</w:t>
            </w:r>
            <w:r>
              <w:rPr>
                <w:rFonts w:cs="宋体"/>
                <w:color w:val="000000"/>
                <w:kern w:val="0"/>
                <w:sz w:val="28"/>
                <w:szCs w:val="28"/>
              </w:rPr>
              <w:t>2.62</w:t>
            </w:r>
          </w:p>
        </w:tc>
        <w:tc>
          <w:tcPr>
            <w:tcW w:w="1043" w:type="dxa"/>
            <w:vAlign w:val="center"/>
          </w:tcPr>
          <w:p w14:paraId="3335AE0E">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预期性</w:t>
            </w:r>
          </w:p>
        </w:tc>
      </w:tr>
      <w:tr w14:paraId="2B13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67" w:hRule="atLeast"/>
        </w:trPr>
        <w:tc>
          <w:tcPr>
            <w:tcW w:w="846" w:type="dxa"/>
            <w:vMerge w:val="restart"/>
            <w:vAlign w:val="center"/>
          </w:tcPr>
          <w:p w14:paraId="3A39AF15">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11</w:t>
            </w:r>
          </w:p>
        </w:tc>
        <w:tc>
          <w:tcPr>
            <w:tcW w:w="1276" w:type="dxa"/>
            <w:vMerge w:val="restart"/>
            <w:vAlign w:val="center"/>
          </w:tcPr>
          <w:p w14:paraId="44C0398E">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每千人口拥有医护人员数</w:t>
            </w:r>
          </w:p>
        </w:tc>
        <w:tc>
          <w:tcPr>
            <w:tcW w:w="2499" w:type="dxa"/>
            <w:vAlign w:val="center"/>
          </w:tcPr>
          <w:p w14:paraId="4E02304C">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执业医师数（人）</w:t>
            </w:r>
          </w:p>
        </w:tc>
        <w:tc>
          <w:tcPr>
            <w:tcW w:w="1531" w:type="dxa"/>
            <w:vAlign w:val="center"/>
          </w:tcPr>
          <w:p w14:paraId="402A68AA">
            <w:pPr>
              <w:widowControl/>
              <w:spacing w:line="240" w:lineRule="auto"/>
              <w:ind w:firstLine="0" w:firstLineChars="0"/>
              <w:jc w:val="center"/>
              <w:rPr>
                <w:rFonts w:cs="宋体"/>
                <w:color w:val="000000"/>
                <w:kern w:val="0"/>
                <w:sz w:val="28"/>
                <w:szCs w:val="28"/>
              </w:rPr>
            </w:pPr>
            <w:r>
              <w:rPr>
                <w:rFonts w:cs="宋体"/>
                <w:color w:val="000000"/>
                <w:kern w:val="0"/>
                <w:sz w:val="28"/>
                <w:szCs w:val="28"/>
              </w:rPr>
              <w:t>2.86</w:t>
            </w:r>
          </w:p>
        </w:tc>
        <w:tc>
          <w:tcPr>
            <w:tcW w:w="1560" w:type="dxa"/>
            <w:vAlign w:val="center"/>
          </w:tcPr>
          <w:p w14:paraId="4FA64BDE">
            <w:pPr>
              <w:widowControl/>
              <w:spacing w:line="240" w:lineRule="auto"/>
              <w:ind w:firstLine="0" w:firstLineChars="0"/>
              <w:jc w:val="center"/>
              <w:rPr>
                <w:rFonts w:cs="宋体"/>
                <w:color w:val="000000"/>
                <w:kern w:val="0"/>
                <w:sz w:val="28"/>
                <w:szCs w:val="28"/>
              </w:rPr>
            </w:pPr>
            <w:r>
              <w:rPr>
                <w:rFonts w:cs="宋体"/>
                <w:color w:val="000000"/>
                <w:kern w:val="0"/>
                <w:sz w:val="28"/>
                <w:szCs w:val="28"/>
              </w:rPr>
              <w:t>3.08</w:t>
            </w:r>
          </w:p>
        </w:tc>
        <w:tc>
          <w:tcPr>
            <w:tcW w:w="1043" w:type="dxa"/>
            <w:vMerge w:val="restart"/>
            <w:vAlign w:val="center"/>
          </w:tcPr>
          <w:p w14:paraId="19005686">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预期性</w:t>
            </w:r>
          </w:p>
        </w:tc>
      </w:tr>
      <w:tr w14:paraId="00D3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67" w:hRule="atLeast"/>
        </w:trPr>
        <w:tc>
          <w:tcPr>
            <w:tcW w:w="846" w:type="dxa"/>
            <w:vMerge w:val="continue"/>
            <w:vAlign w:val="center"/>
          </w:tcPr>
          <w:p w14:paraId="4F38EDB1">
            <w:pPr>
              <w:widowControl/>
              <w:spacing w:line="240" w:lineRule="auto"/>
              <w:ind w:firstLine="0" w:firstLineChars="0"/>
              <w:jc w:val="center"/>
              <w:rPr>
                <w:rFonts w:cs="宋体"/>
                <w:color w:val="000000"/>
                <w:kern w:val="0"/>
                <w:sz w:val="28"/>
                <w:szCs w:val="28"/>
              </w:rPr>
            </w:pPr>
          </w:p>
        </w:tc>
        <w:tc>
          <w:tcPr>
            <w:tcW w:w="1276" w:type="dxa"/>
            <w:vMerge w:val="continue"/>
            <w:vAlign w:val="center"/>
          </w:tcPr>
          <w:p w14:paraId="06F52550">
            <w:pPr>
              <w:widowControl/>
              <w:spacing w:line="240" w:lineRule="auto"/>
              <w:ind w:firstLine="0" w:firstLineChars="0"/>
              <w:jc w:val="left"/>
              <w:rPr>
                <w:rFonts w:cs="宋体"/>
                <w:color w:val="000000"/>
                <w:kern w:val="0"/>
                <w:sz w:val="28"/>
                <w:szCs w:val="28"/>
              </w:rPr>
            </w:pPr>
          </w:p>
        </w:tc>
        <w:tc>
          <w:tcPr>
            <w:tcW w:w="2499" w:type="dxa"/>
            <w:vAlign w:val="center"/>
          </w:tcPr>
          <w:p w14:paraId="3F622D8B">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注册护士数（人）</w:t>
            </w:r>
          </w:p>
        </w:tc>
        <w:tc>
          <w:tcPr>
            <w:tcW w:w="1531" w:type="dxa"/>
            <w:vAlign w:val="center"/>
          </w:tcPr>
          <w:p w14:paraId="0309837B">
            <w:pPr>
              <w:widowControl/>
              <w:spacing w:line="240" w:lineRule="auto"/>
              <w:ind w:firstLine="0" w:firstLineChars="0"/>
              <w:jc w:val="center"/>
              <w:rPr>
                <w:rFonts w:cs="宋体"/>
                <w:color w:val="000000"/>
                <w:kern w:val="0"/>
                <w:sz w:val="28"/>
                <w:szCs w:val="28"/>
              </w:rPr>
            </w:pPr>
            <w:r>
              <w:rPr>
                <w:rFonts w:cs="宋体"/>
                <w:color w:val="000000"/>
                <w:kern w:val="0"/>
                <w:sz w:val="28"/>
                <w:szCs w:val="28"/>
              </w:rPr>
              <w:t>2.51</w:t>
            </w:r>
          </w:p>
        </w:tc>
        <w:tc>
          <w:tcPr>
            <w:tcW w:w="1560" w:type="dxa"/>
            <w:vAlign w:val="center"/>
          </w:tcPr>
          <w:p w14:paraId="54A08A63">
            <w:pPr>
              <w:widowControl/>
              <w:spacing w:line="240" w:lineRule="auto"/>
              <w:ind w:firstLine="0" w:firstLineChars="0"/>
              <w:jc w:val="center"/>
              <w:rPr>
                <w:rFonts w:cs="宋体"/>
                <w:color w:val="000000"/>
                <w:kern w:val="0"/>
                <w:sz w:val="28"/>
                <w:szCs w:val="28"/>
              </w:rPr>
            </w:pPr>
            <w:r>
              <w:rPr>
                <w:rFonts w:cs="宋体"/>
                <w:color w:val="000000"/>
                <w:kern w:val="0"/>
                <w:sz w:val="28"/>
                <w:szCs w:val="28"/>
              </w:rPr>
              <w:t>2.75</w:t>
            </w:r>
          </w:p>
        </w:tc>
        <w:tc>
          <w:tcPr>
            <w:tcW w:w="1043" w:type="dxa"/>
            <w:vMerge w:val="continue"/>
            <w:vAlign w:val="center"/>
          </w:tcPr>
          <w:p w14:paraId="7FE8CAEB">
            <w:pPr>
              <w:widowControl/>
              <w:spacing w:line="240" w:lineRule="auto"/>
              <w:ind w:firstLine="0" w:firstLineChars="0"/>
              <w:jc w:val="center"/>
              <w:rPr>
                <w:rFonts w:cs="宋体"/>
                <w:color w:val="000000"/>
                <w:kern w:val="0"/>
                <w:sz w:val="28"/>
                <w:szCs w:val="28"/>
              </w:rPr>
            </w:pPr>
          </w:p>
        </w:tc>
      </w:tr>
      <w:tr w14:paraId="25E9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Align w:val="center"/>
          </w:tcPr>
          <w:p w14:paraId="7FA18CEC">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12</w:t>
            </w:r>
          </w:p>
        </w:tc>
        <w:tc>
          <w:tcPr>
            <w:tcW w:w="3775" w:type="dxa"/>
            <w:gridSpan w:val="2"/>
            <w:vAlign w:val="center"/>
          </w:tcPr>
          <w:p w14:paraId="5C67E16C">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养老机构护理型床位占比（%）</w:t>
            </w:r>
          </w:p>
        </w:tc>
        <w:tc>
          <w:tcPr>
            <w:tcW w:w="1531" w:type="dxa"/>
            <w:vAlign w:val="center"/>
          </w:tcPr>
          <w:p w14:paraId="1BDFEE8E">
            <w:pPr>
              <w:widowControl/>
              <w:spacing w:line="240" w:lineRule="auto"/>
              <w:ind w:firstLine="0" w:firstLineChars="0"/>
              <w:jc w:val="center"/>
              <w:rPr>
                <w:rFonts w:cs="宋体"/>
                <w:color w:val="000000"/>
                <w:kern w:val="0"/>
                <w:sz w:val="28"/>
                <w:szCs w:val="28"/>
              </w:rPr>
            </w:pPr>
            <w:r>
              <w:rPr>
                <w:rFonts w:cs="宋体"/>
                <w:color w:val="000000"/>
                <w:kern w:val="0"/>
                <w:sz w:val="28"/>
                <w:szCs w:val="28"/>
              </w:rPr>
              <w:t>70</w:t>
            </w:r>
          </w:p>
        </w:tc>
        <w:tc>
          <w:tcPr>
            <w:tcW w:w="1560" w:type="dxa"/>
            <w:vAlign w:val="center"/>
          </w:tcPr>
          <w:p w14:paraId="6F547C05">
            <w:pPr>
              <w:widowControl/>
              <w:spacing w:line="240" w:lineRule="auto"/>
              <w:ind w:firstLine="0" w:firstLineChars="0"/>
              <w:jc w:val="center"/>
              <w:rPr>
                <w:rFonts w:cs="宋体"/>
                <w:color w:val="000000"/>
                <w:kern w:val="0"/>
                <w:sz w:val="28"/>
                <w:szCs w:val="28"/>
              </w:rPr>
            </w:pPr>
            <w:r>
              <w:rPr>
                <w:rFonts w:cs="宋体"/>
                <w:color w:val="000000"/>
                <w:kern w:val="0"/>
                <w:sz w:val="28"/>
                <w:szCs w:val="28"/>
              </w:rPr>
              <w:t>75</w:t>
            </w:r>
          </w:p>
        </w:tc>
        <w:tc>
          <w:tcPr>
            <w:tcW w:w="1043" w:type="dxa"/>
            <w:vAlign w:val="center"/>
          </w:tcPr>
          <w:p w14:paraId="15C891E8">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预期性</w:t>
            </w:r>
          </w:p>
        </w:tc>
      </w:tr>
      <w:tr w14:paraId="3916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05" w:hRule="atLeast"/>
        </w:trPr>
        <w:tc>
          <w:tcPr>
            <w:tcW w:w="0" w:type="auto"/>
            <w:gridSpan w:val="6"/>
            <w:vAlign w:val="center"/>
          </w:tcPr>
          <w:p w14:paraId="295C6385">
            <w:pPr>
              <w:widowControl/>
              <w:spacing w:line="240" w:lineRule="auto"/>
              <w:ind w:firstLine="0" w:firstLineChars="0"/>
              <w:jc w:val="center"/>
              <w:rPr>
                <w:rFonts w:cs="宋体"/>
                <w:color w:val="000000"/>
                <w:kern w:val="0"/>
                <w:sz w:val="28"/>
                <w:szCs w:val="28"/>
              </w:rPr>
            </w:pPr>
            <w:r>
              <w:rPr>
                <w:rFonts w:hint="eastAsia" w:eastAsia="黑体" w:cs="宋体"/>
                <w:color w:val="000000"/>
                <w:kern w:val="0"/>
                <w:sz w:val="28"/>
                <w:szCs w:val="28"/>
              </w:rPr>
              <w:t>绿色生态（</w:t>
            </w:r>
            <w:r>
              <w:rPr>
                <w:rFonts w:eastAsia="黑体" w:cs="宋体"/>
                <w:color w:val="000000"/>
                <w:kern w:val="0"/>
                <w:sz w:val="28"/>
                <w:szCs w:val="28"/>
              </w:rPr>
              <w:t>4</w:t>
            </w:r>
            <w:r>
              <w:rPr>
                <w:rFonts w:hint="eastAsia" w:eastAsia="黑体" w:cs="宋体"/>
                <w:color w:val="000000"/>
                <w:kern w:val="0"/>
                <w:sz w:val="28"/>
                <w:szCs w:val="28"/>
              </w:rPr>
              <w:t>个）</w:t>
            </w:r>
          </w:p>
        </w:tc>
      </w:tr>
      <w:tr w14:paraId="283C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Align w:val="center"/>
          </w:tcPr>
          <w:p w14:paraId="3B276AE7">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13</w:t>
            </w:r>
          </w:p>
        </w:tc>
        <w:tc>
          <w:tcPr>
            <w:tcW w:w="3775" w:type="dxa"/>
            <w:gridSpan w:val="2"/>
            <w:vAlign w:val="center"/>
          </w:tcPr>
          <w:p w14:paraId="674551BF">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单位地区生产总值二氧化碳排放降低（%）</w:t>
            </w:r>
          </w:p>
        </w:tc>
        <w:tc>
          <w:tcPr>
            <w:tcW w:w="1531" w:type="dxa"/>
            <w:vAlign w:val="center"/>
          </w:tcPr>
          <w:p w14:paraId="1622DAD5">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完成天津市下达目标</w:t>
            </w:r>
          </w:p>
        </w:tc>
        <w:tc>
          <w:tcPr>
            <w:tcW w:w="1560" w:type="dxa"/>
            <w:vAlign w:val="center"/>
          </w:tcPr>
          <w:p w14:paraId="487ABF56">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完成天津市下达目标</w:t>
            </w:r>
          </w:p>
        </w:tc>
        <w:tc>
          <w:tcPr>
            <w:tcW w:w="1043" w:type="dxa"/>
            <w:vAlign w:val="center"/>
          </w:tcPr>
          <w:p w14:paraId="5223FF53">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约束性</w:t>
            </w:r>
          </w:p>
        </w:tc>
      </w:tr>
      <w:tr w14:paraId="50FF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Align w:val="center"/>
          </w:tcPr>
          <w:p w14:paraId="7A802906">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14</w:t>
            </w:r>
          </w:p>
        </w:tc>
        <w:tc>
          <w:tcPr>
            <w:tcW w:w="3775" w:type="dxa"/>
            <w:gridSpan w:val="2"/>
            <w:vAlign w:val="center"/>
          </w:tcPr>
          <w:p w14:paraId="4B7CB830">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细颗粒物（PM</w:t>
            </w:r>
            <w:r>
              <w:rPr>
                <w:rFonts w:hint="eastAsia"/>
                <w:sz w:val="18"/>
              </w:rPr>
              <w:t>2.5</w:t>
            </w:r>
            <w:r>
              <w:rPr>
                <w:rFonts w:hint="eastAsia" w:cs="宋体"/>
                <w:color w:val="000000"/>
                <w:kern w:val="0"/>
                <w:sz w:val="28"/>
                <w:szCs w:val="28"/>
              </w:rPr>
              <w:t>）浓度（微克/立方米）</w:t>
            </w:r>
          </w:p>
        </w:tc>
        <w:tc>
          <w:tcPr>
            <w:tcW w:w="1531" w:type="dxa"/>
            <w:vAlign w:val="center"/>
          </w:tcPr>
          <w:p w14:paraId="026B19F9">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3</w:t>
            </w:r>
            <w:r>
              <w:rPr>
                <w:rFonts w:cs="宋体"/>
                <w:color w:val="000000"/>
                <w:kern w:val="0"/>
                <w:sz w:val="28"/>
                <w:szCs w:val="28"/>
              </w:rPr>
              <w:t>8</w:t>
            </w:r>
          </w:p>
        </w:tc>
        <w:tc>
          <w:tcPr>
            <w:tcW w:w="1560" w:type="dxa"/>
            <w:vAlign w:val="center"/>
          </w:tcPr>
          <w:p w14:paraId="1FBDB5F9">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完成天津市下达目标</w:t>
            </w:r>
          </w:p>
        </w:tc>
        <w:tc>
          <w:tcPr>
            <w:tcW w:w="1043" w:type="dxa"/>
            <w:vAlign w:val="center"/>
          </w:tcPr>
          <w:p w14:paraId="7E454EE4">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约束性</w:t>
            </w:r>
          </w:p>
        </w:tc>
      </w:tr>
      <w:tr w14:paraId="0C5E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Align w:val="center"/>
          </w:tcPr>
          <w:p w14:paraId="0ADFDF5F">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15</w:t>
            </w:r>
          </w:p>
        </w:tc>
        <w:tc>
          <w:tcPr>
            <w:tcW w:w="3775" w:type="dxa"/>
            <w:gridSpan w:val="2"/>
            <w:vAlign w:val="center"/>
          </w:tcPr>
          <w:p w14:paraId="616B3B76">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优良水体比例（%）</w:t>
            </w:r>
          </w:p>
        </w:tc>
        <w:tc>
          <w:tcPr>
            <w:tcW w:w="1531" w:type="dxa"/>
            <w:vAlign w:val="center"/>
          </w:tcPr>
          <w:p w14:paraId="19AF56ED">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5</w:t>
            </w:r>
            <w:r>
              <w:rPr>
                <w:rFonts w:cs="宋体"/>
                <w:color w:val="000000"/>
                <w:kern w:val="0"/>
                <w:sz w:val="28"/>
                <w:szCs w:val="28"/>
              </w:rPr>
              <w:t>7</w:t>
            </w:r>
          </w:p>
        </w:tc>
        <w:tc>
          <w:tcPr>
            <w:tcW w:w="1560" w:type="dxa"/>
            <w:vAlign w:val="center"/>
          </w:tcPr>
          <w:p w14:paraId="4C1BD5B8">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完成天津市下达目标</w:t>
            </w:r>
          </w:p>
        </w:tc>
        <w:tc>
          <w:tcPr>
            <w:tcW w:w="1043" w:type="dxa"/>
            <w:vAlign w:val="center"/>
          </w:tcPr>
          <w:p w14:paraId="21BA999C">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约束性</w:t>
            </w:r>
          </w:p>
        </w:tc>
      </w:tr>
      <w:tr w14:paraId="693A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Align w:val="center"/>
          </w:tcPr>
          <w:p w14:paraId="673AB696">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16</w:t>
            </w:r>
          </w:p>
        </w:tc>
        <w:tc>
          <w:tcPr>
            <w:tcW w:w="3775" w:type="dxa"/>
            <w:gridSpan w:val="2"/>
            <w:vAlign w:val="center"/>
          </w:tcPr>
          <w:p w14:paraId="3A773F54">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森林覆盖率（%）</w:t>
            </w:r>
          </w:p>
        </w:tc>
        <w:tc>
          <w:tcPr>
            <w:tcW w:w="1531" w:type="dxa"/>
            <w:vAlign w:val="center"/>
          </w:tcPr>
          <w:p w14:paraId="4E105847">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1</w:t>
            </w:r>
            <w:r>
              <w:rPr>
                <w:rFonts w:cs="宋体"/>
                <w:color w:val="000000"/>
                <w:kern w:val="0"/>
                <w:sz w:val="28"/>
                <w:szCs w:val="28"/>
              </w:rPr>
              <w:t>0.8</w:t>
            </w:r>
          </w:p>
        </w:tc>
        <w:tc>
          <w:tcPr>
            <w:tcW w:w="1560" w:type="dxa"/>
            <w:vAlign w:val="center"/>
          </w:tcPr>
          <w:p w14:paraId="12739BA6">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完成天津市下达目标</w:t>
            </w:r>
          </w:p>
        </w:tc>
        <w:tc>
          <w:tcPr>
            <w:tcW w:w="1043" w:type="dxa"/>
            <w:vAlign w:val="center"/>
          </w:tcPr>
          <w:p w14:paraId="13C8D57B">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约束性</w:t>
            </w:r>
          </w:p>
        </w:tc>
      </w:tr>
      <w:tr w14:paraId="0625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05" w:hRule="atLeast"/>
        </w:trPr>
        <w:tc>
          <w:tcPr>
            <w:tcW w:w="0" w:type="auto"/>
            <w:gridSpan w:val="6"/>
            <w:vAlign w:val="center"/>
          </w:tcPr>
          <w:p w14:paraId="311D75A2">
            <w:pPr>
              <w:widowControl/>
              <w:spacing w:line="240" w:lineRule="auto"/>
              <w:ind w:firstLine="0" w:firstLineChars="0"/>
              <w:jc w:val="center"/>
              <w:rPr>
                <w:rFonts w:cs="宋体"/>
                <w:color w:val="000000"/>
                <w:kern w:val="0"/>
                <w:sz w:val="28"/>
                <w:szCs w:val="28"/>
              </w:rPr>
            </w:pPr>
            <w:r>
              <w:rPr>
                <w:rFonts w:hint="eastAsia" w:eastAsia="黑体" w:cs="宋体"/>
                <w:color w:val="000000"/>
                <w:kern w:val="0"/>
                <w:sz w:val="28"/>
                <w:szCs w:val="28"/>
              </w:rPr>
              <w:t>安全韧性（</w:t>
            </w:r>
            <w:r>
              <w:rPr>
                <w:rFonts w:eastAsia="黑体" w:cs="宋体"/>
                <w:color w:val="000000"/>
                <w:kern w:val="0"/>
                <w:sz w:val="28"/>
                <w:szCs w:val="28"/>
              </w:rPr>
              <w:t>1</w:t>
            </w:r>
            <w:r>
              <w:rPr>
                <w:rFonts w:hint="eastAsia" w:eastAsia="黑体" w:cs="宋体"/>
                <w:color w:val="000000"/>
                <w:kern w:val="0"/>
                <w:sz w:val="28"/>
                <w:szCs w:val="28"/>
              </w:rPr>
              <w:t>个）</w:t>
            </w:r>
          </w:p>
        </w:tc>
      </w:tr>
      <w:tr w14:paraId="52F4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42" w:hRule="atLeast"/>
        </w:trPr>
        <w:tc>
          <w:tcPr>
            <w:tcW w:w="846" w:type="dxa"/>
            <w:vAlign w:val="center"/>
          </w:tcPr>
          <w:p w14:paraId="00A1A181">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17</w:t>
            </w:r>
          </w:p>
        </w:tc>
        <w:tc>
          <w:tcPr>
            <w:tcW w:w="3775" w:type="dxa"/>
            <w:gridSpan w:val="2"/>
            <w:vAlign w:val="center"/>
          </w:tcPr>
          <w:p w14:paraId="24B97D16">
            <w:pPr>
              <w:widowControl/>
              <w:spacing w:line="240" w:lineRule="auto"/>
              <w:ind w:firstLine="0" w:firstLineChars="0"/>
              <w:jc w:val="left"/>
              <w:rPr>
                <w:rFonts w:cs="宋体"/>
                <w:color w:val="000000"/>
                <w:kern w:val="0"/>
                <w:sz w:val="28"/>
                <w:szCs w:val="28"/>
              </w:rPr>
            </w:pPr>
            <w:r>
              <w:rPr>
                <w:rFonts w:hint="eastAsia" w:cs="宋体"/>
                <w:color w:val="000000"/>
                <w:kern w:val="0"/>
                <w:sz w:val="28"/>
                <w:szCs w:val="28"/>
              </w:rPr>
              <w:t>粮食综合生产能力（万吨）</w:t>
            </w:r>
          </w:p>
        </w:tc>
        <w:tc>
          <w:tcPr>
            <w:tcW w:w="1531" w:type="dxa"/>
            <w:vAlign w:val="center"/>
          </w:tcPr>
          <w:p w14:paraId="0E91ED59">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7</w:t>
            </w:r>
            <w:r>
              <w:rPr>
                <w:rFonts w:cs="宋体"/>
                <w:color w:val="000000"/>
                <w:kern w:val="0"/>
                <w:sz w:val="28"/>
                <w:szCs w:val="28"/>
              </w:rPr>
              <w:t>1</w:t>
            </w:r>
          </w:p>
        </w:tc>
        <w:tc>
          <w:tcPr>
            <w:tcW w:w="1560" w:type="dxa"/>
            <w:vAlign w:val="center"/>
          </w:tcPr>
          <w:p w14:paraId="180E5277">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7</w:t>
            </w:r>
            <w:r>
              <w:rPr>
                <w:rFonts w:cs="宋体"/>
                <w:color w:val="000000"/>
                <w:kern w:val="0"/>
                <w:sz w:val="28"/>
                <w:szCs w:val="28"/>
              </w:rPr>
              <w:t>2</w:t>
            </w:r>
          </w:p>
        </w:tc>
        <w:tc>
          <w:tcPr>
            <w:tcW w:w="1043" w:type="dxa"/>
            <w:vAlign w:val="center"/>
          </w:tcPr>
          <w:p w14:paraId="5234ECBD">
            <w:pPr>
              <w:widowControl/>
              <w:spacing w:line="240" w:lineRule="auto"/>
              <w:ind w:firstLine="0" w:firstLineChars="0"/>
              <w:jc w:val="center"/>
              <w:rPr>
                <w:rFonts w:cs="宋体"/>
                <w:color w:val="000000"/>
                <w:kern w:val="0"/>
                <w:sz w:val="28"/>
                <w:szCs w:val="28"/>
              </w:rPr>
            </w:pPr>
            <w:r>
              <w:rPr>
                <w:rFonts w:hint="eastAsia" w:cs="宋体"/>
                <w:color w:val="000000"/>
                <w:kern w:val="0"/>
                <w:sz w:val="28"/>
                <w:szCs w:val="28"/>
              </w:rPr>
              <w:t>约束性</w:t>
            </w:r>
          </w:p>
        </w:tc>
      </w:tr>
    </w:tbl>
    <w:p w14:paraId="0764BDE6">
      <w:pPr>
        <w:widowControl/>
        <w:spacing w:line="240" w:lineRule="auto"/>
        <w:ind w:firstLine="0" w:firstLineChars="0"/>
        <w:jc w:val="left"/>
        <w:rPr>
          <w:rFonts w:cs="宋体"/>
          <w:color w:val="000000"/>
          <w:kern w:val="0"/>
          <w:sz w:val="24"/>
          <w:szCs w:val="28"/>
        </w:rPr>
      </w:pPr>
      <w:r>
        <w:rPr>
          <w:rFonts w:hint="eastAsia" w:cs="宋体"/>
          <w:color w:val="000000"/>
          <w:kern w:val="0"/>
          <w:sz w:val="28"/>
          <w:szCs w:val="32"/>
        </w:rPr>
        <w:t>注：</w:t>
      </w:r>
      <w:r>
        <w:rPr>
          <w:rFonts w:hint="eastAsia" w:cs="宋体"/>
          <w:color w:val="000000"/>
          <w:kern w:val="0"/>
          <w:position w:val="6"/>
          <w:sz w:val="28"/>
          <w:szCs w:val="28"/>
        </w:rPr>
        <w:t>*</w:t>
      </w:r>
      <w:r>
        <w:rPr>
          <w:rFonts w:hint="eastAsia" w:cs="宋体"/>
          <w:color w:val="000000"/>
          <w:kern w:val="0"/>
          <w:sz w:val="28"/>
          <w:szCs w:val="32"/>
        </w:rPr>
        <w:t>为五年平均数</w:t>
      </w:r>
    </w:p>
    <w:p w14:paraId="0593085B">
      <w:pPr>
        <w:widowControl/>
        <w:spacing w:line="240" w:lineRule="auto"/>
        <w:ind w:firstLine="0" w:firstLineChars="0"/>
        <w:jc w:val="left"/>
        <w:rPr>
          <w:rStyle w:val="24"/>
          <w:rFonts w:eastAsia="方正小标宋简体" w:cstheme="majorBidi"/>
          <w:b w:val="0"/>
          <w:bCs w:val="0"/>
          <w:sz w:val="36"/>
          <w:szCs w:val="48"/>
        </w:rPr>
      </w:pPr>
      <w:r>
        <w:rPr>
          <w:rStyle w:val="24"/>
          <w:b w:val="0"/>
          <w:bCs w:val="0"/>
        </w:rPr>
        <w:br w:type="page"/>
      </w:r>
    </w:p>
    <w:p w14:paraId="7AE43FDB">
      <w:pPr>
        <w:pStyle w:val="2"/>
        <w:spacing w:after="435"/>
        <w:rPr>
          <w:rStyle w:val="24"/>
          <w:rFonts w:ascii="宋体" w:hAnsi="宋体"/>
          <w:b w:val="0"/>
          <w:bCs w:val="0"/>
        </w:rPr>
      </w:pPr>
      <w:bookmarkStart w:id="12" w:name="_Toc219068704"/>
      <w:bookmarkStart w:id="13" w:name="_Hlk212314548"/>
      <w:r>
        <w:rPr>
          <w:rStyle w:val="24"/>
          <w:rFonts w:hint="eastAsia" w:ascii="宋体" w:hAnsi="宋体"/>
          <w:b w:val="0"/>
          <w:bCs w:val="0"/>
        </w:rPr>
        <w:t>第二篇</w:t>
      </w:r>
      <w:r>
        <w:rPr>
          <w:rStyle w:val="24"/>
          <w:rFonts w:ascii="宋体" w:hAnsi="宋体"/>
          <w:b w:val="0"/>
          <w:bCs w:val="0"/>
        </w:rPr>
        <w:t xml:space="preserve">  </w:t>
      </w:r>
      <w:r>
        <w:rPr>
          <w:rStyle w:val="24"/>
          <w:rFonts w:hint="eastAsia" w:ascii="宋体" w:hAnsi="宋体"/>
          <w:b w:val="0"/>
          <w:bCs w:val="0"/>
        </w:rPr>
        <w:t>以推进京津冀协同发展为战略牵引，加快改革开放步伐，全力扩投资促消费，打造企业和人才投资兴业、合作共赢、成就梦想的“开放宝地”</w:t>
      </w:r>
      <w:bookmarkEnd w:id="12"/>
    </w:p>
    <w:bookmarkEnd w:id="13"/>
    <w:p w14:paraId="63BE7079">
      <w:pPr>
        <w:pStyle w:val="3"/>
        <w:spacing w:before="435" w:after="435"/>
        <w:rPr>
          <w:rFonts w:ascii="宋体" w:hAnsi="宋体"/>
        </w:rPr>
      </w:pPr>
      <w:bookmarkStart w:id="14" w:name="_Toc213683050"/>
      <w:bookmarkStart w:id="15" w:name="_Toc219068705"/>
      <w:r>
        <w:rPr>
          <w:rFonts w:hint="eastAsia" w:ascii="宋体" w:hAnsi="宋体"/>
        </w:rPr>
        <w:t>第三章  强化区域协同开放，推动京津冀协同发展</w:t>
      </w:r>
      <w:bookmarkEnd w:id="14"/>
      <w:r>
        <w:rPr>
          <w:rFonts w:hint="eastAsia" w:ascii="宋体" w:hAnsi="宋体"/>
        </w:rPr>
        <w:t>不断迈上新台阶</w:t>
      </w:r>
      <w:bookmarkEnd w:id="15"/>
    </w:p>
    <w:p w14:paraId="08C97DAF">
      <w:pPr>
        <w:ind w:firstLine="640"/>
      </w:pPr>
      <w:r>
        <w:rPr>
          <w:rFonts w:hint="eastAsia"/>
          <w:szCs w:val="32"/>
        </w:rPr>
        <w:t>以推进京津冀协同发展为战略牵引，</w:t>
      </w:r>
      <w:r>
        <w:rPr>
          <w:rFonts w:hint="eastAsia"/>
        </w:rPr>
        <w:t>以“京津中关村科技城经济体量跃升”工程为抓手，</w:t>
      </w:r>
      <w:r>
        <w:rPr>
          <w:rFonts w:hint="eastAsia"/>
          <w:szCs w:val="32"/>
        </w:rPr>
        <w:t>突出深度融入和积极引入，</w:t>
      </w:r>
      <w:r>
        <w:rPr>
          <w:rFonts w:hint="eastAsia"/>
        </w:rPr>
        <w:t>牢固树立“宝坻之外即是对外开放”的理念，主动服务现代化首都都市圈建设，举全区之力建设京津中关村科技城，不断深化科技创新和产业体系融合发展，纵深推动“京东黄金走廊”建设，加快京津冀交通互联互通，</w:t>
      </w:r>
      <w:r>
        <w:rPr>
          <w:rFonts w:hint="eastAsia"/>
          <w:szCs w:val="32"/>
        </w:rPr>
        <w:t>在推进区域一体化、京津同城化上发挥更大作用，</w:t>
      </w:r>
      <w:r>
        <w:rPr>
          <w:rFonts w:hint="eastAsia"/>
        </w:rPr>
        <w:t>打造唱好京津“双城记”重要支点。</w:t>
      </w:r>
    </w:p>
    <w:p w14:paraId="7756F4A2">
      <w:pPr>
        <w:pStyle w:val="4"/>
        <w:spacing w:before="217" w:after="217"/>
        <w:rPr>
          <w:rFonts w:ascii="宋体" w:hAnsi="宋体"/>
        </w:rPr>
      </w:pPr>
      <w:bookmarkStart w:id="16" w:name="_Toc212560057"/>
      <w:bookmarkStart w:id="17" w:name="_Toc219068706"/>
      <w:bookmarkStart w:id="18" w:name="_Toc212560058"/>
      <w:r>
        <w:rPr>
          <w:rFonts w:hint="eastAsia" w:ascii="宋体" w:hAnsi="宋体"/>
        </w:rPr>
        <w:t>第一节 发挥京津中关村科技城</w:t>
      </w:r>
      <w:bookmarkEnd w:id="16"/>
      <w:r>
        <w:rPr>
          <w:rFonts w:hint="eastAsia" w:ascii="宋体" w:hAnsi="宋体"/>
        </w:rPr>
        <w:t>引领发展龙头作用</w:t>
      </w:r>
      <w:bookmarkEnd w:id="17"/>
    </w:p>
    <w:p w14:paraId="4AD4BF02">
      <w:pPr>
        <w:ind w:firstLine="640"/>
        <w:rPr>
          <w:szCs w:val="32"/>
        </w:rPr>
      </w:pPr>
      <w:r>
        <w:rPr>
          <w:rFonts w:hint="eastAsia"/>
        </w:rPr>
        <w:t>聚焦高端装备制造、新材料、新一代信息技术等主导产业，拓展布局低空经济、数字经济等新赛道，</w:t>
      </w:r>
      <w:r>
        <w:rPr>
          <w:rFonts w:hint="eastAsia"/>
          <w:bCs/>
          <w:szCs w:val="32"/>
        </w:rPr>
        <w:t>积极参与京津产业协作，</w:t>
      </w:r>
      <w:r>
        <w:rPr>
          <w:rFonts w:hint="eastAsia"/>
          <w:szCs w:val="32"/>
        </w:rPr>
        <w:t>构建梯次布局、相互耦合的产业体系。</w:t>
      </w:r>
    </w:p>
    <w:p w14:paraId="0BA55E9C">
      <w:pPr>
        <w:ind w:firstLine="640"/>
        <w:rPr>
          <w:szCs w:val="32"/>
        </w:rPr>
      </w:pPr>
      <w:r>
        <w:rPr>
          <w:rFonts w:hint="eastAsia" w:eastAsia="楷体" w:cs="楷体"/>
          <w:bCs/>
          <w:szCs w:val="32"/>
        </w:rPr>
        <w:t>打通顶层合作机制。</w:t>
      </w:r>
      <w:r>
        <w:rPr>
          <w:rFonts w:hint="eastAsia"/>
          <w:b/>
          <w:bCs/>
          <w:szCs w:val="32"/>
        </w:rPr>
        <w:t>加强政策协同，</w:t>
      </w:r>
      <w:r>
        <w:rPr>
          <w:rFonts w:hint="eastAsia" w:cs="仿宋_GB2312"/>
          <w:szCs w:val="32"/>
        </w:rPr>
        <w:t>高水平推进京津两市市级层面会商协调机制，持续完善市级层面年度会商、区级层面常态化对接模式。联合京津两市相关部门制定区域协同新政策，并争取试点先行，构建“北京中关村创新导入—科技城先行先试—全区推广应用”的政策格局。</w:t>
      </w:r>
      <w:r>
        <w:rPr>
          <w:rFonts w:hint="eastAsia"/>
          <w:bCs/>
          <w:szCs w:val="32"/>
        </w:rPr>
        <w:t>不断建立健全科技城专属政策体系，推动京津相关政策向京津中关村科技城倾斜，促进政策跨区域互认，形成可复制的政策经验，打造协同创新标杆。</w:t>
      </w:r>
      <w:r>
        <w:rPr>
          <w:rFonts w:hint="eastAsia"/>
          <w:b/>
          <w:szCs w:val="32"/>
        </w:rPr>
        <w:t>推动合作共建，</w:t>
      </w:r>
      <w:r>
        <w:rPr>
          <w:rFonts w:hint="eastAsia"/>
          <w:szCs w:val="32"/>
        </w:rPr>
        <w:t>依托科技城“三层管理架构”，</w:t>
      </w:r>
      <w:r>
        <w:rPr>
          <w:rFonts w:hint="eastAsia" w:cs="仿宋_GB2312"/>
          <w:szCs w:val="32"/>
        </w:rPr>
        <w:t>高效链接天开高教科创园“一核两翼多点”，</w:t>
      </w:r>
      <w:r>
        <w:rPr>
          <w:rFonts w:hint="eastAsia"/>
          <w:szCs w:val="32"/>
        </w:rPr>
        <w:t>不断深化利益共享机制，</w:t>
      </w:r>
      <w:r>
        <w:rPr>
          <w:rFonts w:hint="eastAsia" w:cs="仿宋_GB2312"/>
          <w:szCs w:val="32"/>
        </w:rPr>
        <w:t>打造</w:t>
      </w:r>
      <w:r>
        <w:rPr>
          <w:rFonts w:hint="eastAsia"/>
          <w:bCs/>
          <w:szCs w:val="32"/>
        </w:rPr>
        <w:t>“京津研发，区域转化”新模式，</w:t>
      </w:r>
      <w:r>
        <w:rPr>
          <w:rFonts w:hint="eastAsia"/>
          <w:szCs w:val="32"/>
        </w:rPr>
        <w:t>争创国家高新技术产业开发区。围绕产业链互补、市场链互联、投资链互促、创新链互通、人才链互育的全面深度合作路径，深化与中关村医疗器械园、集成电路设计园等专业化园区合作，实现园区联动运营。</w:t>
      </w:r>
      <w:r>
        <w:rPr>
          <w:rFonts w:hint="eastAsia" w:cs="仿宋_GB2312"/>
          <w:szCs w:val="32"/>
        </w:rPr>
        <w:t>深化与北京中关村朝阳园等“飞地园区”发展成果跨区域分配机制运用，</w:t>
      </w:r>
      <w:r>
        <w:rPr>
          <w:rFonts w:hint="eastAsia"/>
          <w:szCs w:val="32"/>
        </w:rPr>
        <w:t>推动重大产业配套项目在京津中关村科技城落地。</w:t>
      </w:r>
    </w:p>
    <w:p w14:paraId="53455A19">
      <w:pPr>
        <w:ind w:firstLine="640"/>
      </w:pPr>
      <w:r>
        <w:rPr>
          <w:rFonts w:hint="eastAsia" w:eastAsia="楷体" w:cs="楷体"/>
          <w:bCs/>
          <w:szCs w:val="32"/>
        </w:rPr>
        <w:t>打造创新产业集群。</w:t>
      </w:r>
      <w:r>
        <w:rPr>
          <w:rFonts w:hint="eastAsia"/>
          <w:b/>
        </w:rPr>
        <w:t>着力做强高端装备优势产业，</w:t>
      </w:r>
      <w:r>
        <w:rPr>
          <w:rFonts w:hint="eastAsia" w:cs="仿宋_GB2312"/>
          <w:szCs w:val="32"/>
        </w:rPr>
        <w:t>壮大汽车配件产业，加强全产业链配套供给，</w:t>
      </w:r>
      <w:r>
        <w:t>引领汽车配件成龙</w:t>
      </w:r>
      <w:r>
        <w:rPr>
          <w:rFonts w:hint="eastAsia"/>
        </w:rPr>
        <w:t>配</w:t>
      </w:r>
      <w:r>
        <w:t>套。</w:t>
      </w:r>
      <w:r>
        <w:rPr>
          <w:rFonts w:hint="eastAsia"/>
        </w:rPr>
        <w:t>深化布局半导体器件和医疗器械专用设备制造，积极拓展机器人、风电设备等新赛道。</w:t>
      </w:r>
      <w:r>
        <w:rPr>
          <w:b/>
        </w:rPr>
        <w:t>推动新材料产业聚群强链，</w:t>
      </w:r>
      <w:r>
        <w:t>聚力发展先进半导体材料、新型显示材料、高端合金材料、柔性电子材料等新材料，</w:t>
      </w:r>
      <w:r>
        <w:rPr>
          <w:rFonts w:hint="eastAsia" w:cs="仿宋_GB2312"/>
          <w:szCs w:val="32"/>
        </w:rPr>
        <w:t>服务区域</w:t>
      </w:r>
      <w:r>
        <w:rPr>
          <w:rFonts w:cs="仿宋_GB2312"/>
          <w:szCs w:val="32"/>
        </w:rPr>
        <w:t>战略性新兴产业</w:t>
      </w:r>
      <w:r>
        <w:rPr>
          <w:rFonts w:hint="eastAsia" w:cs="仿宋_GB2312"/>
          <w:szCs w:val="32"/>
        </w:rPr>
        <w:t>发展需求。</w:t>
      </w:r>
      <w:r>
        <w:rPr>
          <w:rFonts w:hint="eastAsia" w:cs="仿宋_GB2312"/>
          <w:b/>
          <w:bCs/>
          <w:szCs w:val="32"/>
        </w:rPr>
        <w:t>大力发展新一代信息技术产业，</w:t>
      </w:r>
      <w:r>
        <w:rPr>
          <w:rFonts w:hint="eastAsia" w:cs="Times New Roman"/>
        </w:rPr>
        <w:t>做优算力基地</w:t>
      </w:r>
      <w:r>
        <w:rPr>
          <w:rFonts w:cs="Times New Roman"/>
        </w:rPr>
        <w:t>，打造绿色智能数据中心，提供稳定算力服务。打造数据服务体系</w:t>
      </w:r>
      <w:r>
        <w:rPr>
          <w:rFonts w:hint="eastAsia" w:cs="Times New Roman"/>
        </w:rPr>
        <w:t>，</w:t>
      </w:r>
      <w:r>
        <w:rPr>
          <w:rFonts w:cs="Times New Roman"/>
        </w:rPr>
        <w:t>构建一体化算力资源池，对接区域网络，建设高质量行业数据库。构建信息技术产业集群</w:t>
      </w:r>
      <w:r>
        <w:rPr>
          <w:rFonts w:hint="eastAsia" w:cs="Times New Roman"/>
        </w:rPr>
        <w:t>，</w:t>
      </w:r>
      <w:r>
        <w:rPr>
          <w:rFonts w:cs="Times New Roman"/>
        </w:rPr>
        <w:t>围绕算力核心，吸引上下游企业集聚，形成完整产业生态。</w:t>
      </w:r>
      <w:r>
        <w:rPr>
          <w:rFonts w:hint="eastAsia" w:cs="仿宋_GB2312"/>
          <w:b/>
          <w:bCs/>
          <w:szCs w:val="32"/>
        </w:rPr>
        <w:t>培育</w:t>
      </w:r>
      <w:r>
        <w:rPr>
          <w:rFonts w:hint="eastAsia"/>
          <w:b/>
        </w:rPr>
        <w:t>低空经济新优势，</w:t>
      </w:r>
      <w:r>
        <w:rPr>
          <w:rFonts w:hint="eastAsia" w:cs="Times New Roman"/>
        </w:rPr>
        <w:t>用好宝坻区无人机基地等优质测试条件，面向华北地区提供无人机、eVTOL“测试</w:t>
      </w:r>
      <w:r>
        <w:rPr>
          <w:rFonts w:hint="eastAsia"/>
          <w:szCs w:val="32"/>
        </w:rPr>
        <w:t>—</w:t>
      </w:r>
      <w:r>
        <w:rPr>
          <w:rFonts w:hint="eastAsia" w:cs="Times New Roman"/>
        </w:rPr>
        <w:t>展示</w:t>
      </w:r>
      <w:r>
        <w:rPr>
          <w:rFonts w:hint="eastAsia"/>
          <w:szCs w:val="32"/>
        </w:rPr>
        <w:t>—</w:t>
      </w:r>
      <w:r>
        <w:rPr>
          <w:rFonts w:hint="eastAsia" w:cs="Times New Roman"/>
        </w:rPr>
        <w:t>演示</w:t>
      </w:r>
      <w:r>
        <w:rPr>
          <w:rFonts w:hint="eastAsia"/>
          <w:szCs w:val="32"/>
        </w:rPr>
        <w:t>—</w:t>
      </w:r>
      <w:r>
        <w:rPr>
          <w:rFonts w:hint="eastAsia" w:cs="Times New Roman"/>
        </w:rPr>
        <w:t>销售</w:t>
      </w:r>
      <w:r>
        <w:rPr>
          <w:rFonts w:hint="eastAsia"/>
          <w:szCs w:val="32"/>
        </w:rPr>
        <w:t>—</w:t>
      </w:r>
      <w:r>
        <w:rPr>
          <w:rFonts w:hint="eastAsia" w:cs="Times New Roman"/>
        </w:rPr>
        <w:t>维修”全链条服务，逐步实现相关上下游企业向科技城迁移，构建低空经济完整产业链条</w:t>
      </w:r>
      <w:r>
        <w:rPr>
          <w:rFonts w:hint="eastAsia"/>
        </w:rPr>
        <w:t>。</w:t>
      </w:r>
      <w:r>
        <w:rPr>
          <w:rFonts w:hint="eastAsia"/>
          <w:b/>
        </w:rPr>
        <w:t>抢占数字经济新赛道，</w:t>
      </w:r>
      <w:r>
        <w:rPr>
          <w:rFonts w:hint="eastAsia"/>
        </w:rPr>
        <w:t>推动电商直播、算力基地、数字创意超前布局。</w:t>
      </w:r>
    </w:p>
    <w:p w14:paraId="3A2E3A80">
      <w:pPr>
        <w:ind w:firstLine="640"/>
        <w:rPr>
          <w:spacing w:val="5"/>
        </w:rPr>
      </w:pPr>
      <w:r>
        <w:rPr>
          <w:rFonts w:hint="eastAsia" w:eastAsia="楷体" w:cs="楷体"/>
          <w:bCs/>
          <w:szCs w:val="32"/>
        </w:rPr>
        <w:t>构建多维创新生态。</w:t>
      </w:r>
      <w:r>
        <w:rPr>
          <w:rFonts w:hint="eastAsia"/>
          <w:b/>
        </w:rPr>
        <w:t>加快科创载体建设，</w:t>
      </w:r>
      <w:r>
        <w:rPr>
          <w:rFonts w:hint="eastAsia"/>
        </w:rPr>
        <w:t>发挥北大科技园天津分园总部、紫荆研究院等平台载体效能，</w:t>
      </w:r>
      <w:r>
        <w:t>提升结构可靠性实验室等科研平台能级</w:t>
      </w:r>
      <w:r>
        <w:rPr>
          <w:rFonts w:hint="eastAsia"/>
        </w:rPr>
        <w:t>。推动标准级孵化器建设，促进创新链和产业链深度融合。</w:t>
      </w:r>
      <w:r>
        <w:rPr>
          <w:rFonts w:hint="eastAsia"/>
          <w:b/>
        </w:rPr>
        <w:t>强化服务生态链接，</w:t>
      </w:r>
      <w:r>
        <w:rPr>
          <w:rFonts w:hint="eastAsia"/>
        </w:rPr>
        <w:t>落地中关村发展集团集成服务体系，</w:t>
      </w:r>
      <w:bookmarkStart w:id="19" w:name="_Hlk213860972"/>
      <w:r>
        <w:rPr>
          <w:rFonts w:hint="eastAsia"/>
        </w:rPr>
        <w:t>持续建强“十大服务平台”，</w:t>
      </w:r>
      <w:bookmarkEnd w:id="19"/>
      <w:r>
        <w:rPr>
          <w:rFonts w:hint="eastAsia"/>
        </w:rPr>
        <w:t>强化</w:t>
      </w:r>
      <w:r>
        <w:rPr>
          <w:rFonts w:hint="eastAsia"/>
          <w:spacing w:val="5"/>
        </w:rPr>
        <w:t>企业服务、招商服务、科技金融、科技成果转化、企业家服务、人力资源、公共实验检测、论坛服务、线上社区服务、生活服务保障，</w:t>
      </w:r>
      <w:r>
        <w:rPr>
          <w:rFonts w:hint="eastAsia"/>
        </w:rPr>
        <w:t>打造“类中关村”创新生态。搭建创投、租赁、担保、供应链金融等科技金融服务平台，</w:t>
      </w:r>
      <w:r>
        <w:rPr>
          <w:rFonts w:cs="Times New Roman"/>
        </w:rPr>
        <w:t>推动成立10亿元规模产业母基金</w:t>
      </w:r>
      <w:r>
        <w:rPr>
          <w:rFonts w:hint="eastAsia"/>
        </w:rPr>
        <w:t>，营造开放包容、高效协同、持续发展的产业创新生态圈。</w:t>
      </w:r>
      <w:r>
        <w:rPr>
          <w:rFonts w:hint="eastAsia"/>
          <w:b/>
        </w:rPr>
        <w:t>开放共享示范应用场景，</w:t>
      </w:r>
      <w:r>
        <w:rPr>
          <w:rFonts w:hint="eastAsia"/>
        </w:rPr>
        <w:t>搭建智能网联汽车、无人配送货车、无人机应用等场景</w:t>
      </w:r>
      <w:r>
        <w:t>，建设综合性测试平台</w:t>
      </w:r>
      <w:r>
        <w:rPr>
          <w:rFonts w:hint="eastAsia"/>
        </w:rPr>
        <w:t>，</w:t>
      </w:r>
      <w:r>
        <w:rPr>
          <w:rFonts w:hint="eastAsia"/>
          <w:spacing w:val="5"/>
        </w:rPr>
        <w:t>推动道路智慧化改造，促进“车路云一体化”与自动驾驶技术深度融合。</w:t>
      </w:r>
      <w:r>
        <w:rPr>
          <w:rFonts w:hint="eastAsia"/>
        </w:rPr>
        <w:t>探索制定低空经济空域管理、数据跨境流动等领域差异化政策。</w:t>
      </w:r>
      <w:r>
        <w:rPr>
          <w:rFonts w:hint="eastAsia"/>
          <w:b/>
        </w:rPr>
        <w:t>打造创新人才高地，</w:t>
      </w:r>
      <w:r>
        <w:rPr>
          <w:rFonts w:hint="eastAsia"/>
        </w:rPr>
        <w:t>与中关村</w:t>
      </w:r>
      <w:r>
        <w:t>发展集团</w:t>
      </w:r>
      <w:r>
        <w:rPr>
          <w:rFonts w:hint="eastAsia"/>
        </w:rPr>
        <w:t>共建人才引育平台，</w:t>
      </w:r>
      <w:r>
        <w:rPr>
          <w:spacing w:val="-3"/>
        </w:rPr>
        <w:t>推动</w:t>
      </w:r>
      <w:r>
        <w:rPr>
          <w:spacing w:val="2"/>
        </w:rPr>
        <w:t>人才政策创新，</w:t>
      </w:r>
      <w:r>
        <w:rPr>
          <w:rFonts w:hint="eastAsia"/>
          <w:spacing w:val="2"/>
        </w:rPr>
        <w:t>以</w:t>
      </w:r>
      <w:r>
        <w:rPr>
          <w:spacing w:val="2"/>
        </w:rPr>
        <w:t>产</w:t>
      </w:r>
      <w:r>
        <w:rPr>
          <w:spacing w:val="-2"/>
        </w:rPr>
        <w:t>业需求为导向，合作建设人才实训基地，为企业发展提供应用型、</w:t>
      </w:r>
      <w:r>
        <w:rPr>
          <w:spacing w:val="5"/>
        </w:rPr>
        <w:t>技术型人才支撑，推进高水平人才高地建设。</w:t>
      </w:r>
    </w:p>
    <w:p w14:paraId="1F1C0DA1">
      <w:pPr>
        <w:ind w:firstLine="660"/>
        <w:rPr>
          <w:spacing w:val="5"/>
        </w:rPr>
      </w:pP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0CF08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1FF6956F">
            <w:pPr>
              <w:adjustRightInd w:val="0"/>
              <w:snapToGrid w:val="0"/>
              <w:ind w:firstLine="0" w:firstLineChars="0"/>
              <w:jc w:val="center"/>
              <w:rPr>
                <w:sz w:val="30"/>
                <w:szCs w:val="30"/>
              </w:rPr>
            </w:pPr>
            <w:r>
              <w:rPr>
                <w:rFonts w:hint="eastAsia"/>
                <w:b/>
                <w:sz w:val="30"/>
                <w:szCs w:val="30"/>
              </w:rPr>
              <w:t>引领工程之一</w:t>
            </w:r>
            <w:r>
              <w:rPr>
                <w:b/>
                <w:sz w:val="30"/>
                <w:szCs w:val="30"/>
              </w:rPr>
              <w:t xml:space="preserve"> </w:t>
            </w:r>
            <w:bookmarkStart w:id="20" w:name="_Hlk212566524"/>
            <w:r>
              <w:rPr>
                <w:rFonts w:hint="eastAsia"/>
                <w:b/>
                <w:sz w:val="30"/>
                <w:szCs w:val="30"/>
              </w:rPr>
              <w:t>“</w:t>
            </w:r>
            <w:r>
              <w:rPr>
                <w:b/>
                <w:sz w:val="30"/>
                <w:szCs w:val="30"/>
              </w:rPr>
              <w:t>京津中关村科技城经济体量跃升</w:t>
            </w:r>
            <w:r>
              <w:rPr>
                <w:rFonts w:hint="eastAsia"/>
                <w:b/>
                <w:sz w:val="30"/>
                <w:szCs w:val="30"/>
              </w:rPr>
              <w:t>”</w:t>
            </w:r>
            <w:r>
              <w:rPr>
                <w:b/>
                <w:sz w:val="30"/>
                <w:szCs w:val="30"/>
              </w:rPr>
              <w:t>工程</w:t>
            </w:r>
            <w:bookmarkEnd w:id="20"/>
          </w:p>
        </w:tc>
      </w:tr>
      <w:tr w14:paraId="04649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36D65BF8">
            <w:pPr>
              <w:adjustRightInd w:val="0"/>
              <w:snapToGrid w:val="0"/>
              <w:ind w:firstLine="600"/>
              <w:rPr>
                <w:sz w:val="30"/>
                <w:szCs w:val="30"/>
              </w:rPr>
            </w:pPr>
            <w:r>
              <w:rPr>
                <w:rFonts w:hint="eastAsia"/>
                <w:sz w:val="30"/>
                <w:szCs w:val="30"/>
              </w:rPr>
              <w:t>发挥京津中关村科技城引领宝坻高质量发展龙头作用，构建“一城引领、多点协同”的发展格局，联动宝坻经济开发区、电子商贸与现代物流产业基地、高铁宝坻站站前区等共建发展协同体。到2030年，核心产业链基本形成，战略科技人才、创新领军人才和创新团队有效集聚，“一城多点”区域内年规上工业产值突破500亿元，经济主体数量超过5000家；“一城”京津中关村科技城年规上工业产值突破</w:t>
            </w:r>
            <w:r>
              <w:rPr>
                <w:sz w:val="30"/>
                <w:szCs w:val="30"/>
              </w:rPr>
              <w:t>2</w:t>
            </w:r>
            <w:r>
              <w:rPr>
                <w:rFonts w:hint="eastAsia"/>
                <w:sz w:val="30"/>
                <w:szCs w:val="30"/>
              </w:rPr>
              <w:t>00亿元，</w:t>
            </w:r>
            <w:r>
              <w:rPr>
                <w:rFonts w:hint="eastAsia"/>
                <w:szCs w:val="32"/>
              </w:rPr>
              <w:t>入驻市场主体数量达到3000家，</w:t>
            </w:r>
            <w:r>
              <w:rPr>
                <w:rFonts w:hint="eastAsia"/>
                <w:sz w:val="30"/>
                <w:szCs w:val="30"/>
              </w:rPr>
              <w:t>力争累计引入生产型企业突破200家。</w:t>
            </w:r>
          </w:p>
          <w:p w14:paraId="79A92282">
            <w:pPr>
              <w:ind w:firstLine="602"/>
              <w:rPr>
                <w:rFonts w:cs="Times New Roman"/>
                <w:b/>
                <w:bCs/>
                <w:sz w:val="30"/>
                <w:szCs w:val="30"/>
              </w:rPr>
            </w:pPr>
            <w:r>
              <w:rPr>
                <w:rFonts w:hint="eastAsia"/>
                <w:b/>
                <w:bCs/>
                <w:sz w:val="30"/>
                <w:szCs w:val="30"/>
              </w:rPr>
              <w:t>（一）发展三大重点产业。以专促优，做强</w:t>
            </w:r>
            <w:bookmarkStart w:id="21" w:name="_Hlk213858593"/>
            <w:r>
              <w:rPr>
                <w:rFonts w:hint="eastAsia"/>
                <w:b/>
                <w:bCs/>
                <w:sz w:val="30"/>
                <w:szCs w:val="30"/>
              </w:rPr>
              <w:t>高端装备制造产业</w:t>
            </w:r>
            <w:bookmarkEnd w:id="21"/>
            <w:r>
              <w:rPr>
                <w:rFonts w:hint="eastAsia"/>
                <w:b/>
                <w:bCs/>
                <w:sz w:val="30"/>
                <w:szCs w:val="30"/>
              </w:rPr>
              <w:t>。</w:t>
            </w:r>
            <w:r>
              <w:rPr>
                <w:rFonts w:hint="eastAsia"/>
                <w:bCs/>
                <w:sz w:val="30"/>
                <w:szCs w:val="30"/>
              </w:rPr>
              <w:t>壮大汽车配件产业，</w:t>
            </w:r>
            <w:r>
              <w:rPr>
                <w:rFonts w:hint="eastAsia"/>
                <w:sz w:val="30"/>
                <w:szCs w:val="30"/>
              </w:rPr>
              <w:t>深化与中关村京津冀新能源汽车协同发展促进会、中汽研等平台的合作，聚焦新能源汽车整车厂，引入一批汽车零部件企业集聚，建强汽车零部件产业链，打造新能源汽车零部件生产基地。打造</w:t>
            </w:r>
            <w:r>
              <w:rPr>
                <w:rFonts w:hint="eastAsia"/>
                <w:bCs/>
                <w:sz w:val="30"/>
                <w:szCs w:val="30"/>
              </w:rPr>
              <w:t>半导体器件产业链，</w:t>
            </w:r>
            <w:r>
              <w:rPr>
                <w:rFonts w:hint="eastAsia"/>
                <w:sz w:val="30"/>
                <w:szCs w:val="30"/>
              </w:rPr>
              <w:t>深化半导体器件专用设备、高端医疗器械专用设备两大核心产业协同布局</w:t>
            </w:r>
            <w:r>
              <w:rPr>
                <w:rFonts w:hint="eastAsia" w:cs="Times New Roman"/>
                <w:sz w:val="30"/>
                <w:szCs w:val="30"/>
              </w:rPr>
              <w:t>，</w:t>
            </w:r>
            <w:r>
              <w:rPr>
                <w:rFonts w:hint="eastAsia"/>
                <w:sz w:val="30"/>
                <w:szCs w:val="30"/>
              </w:rPr>
              <w:t>搭建“研发—中试—量产”成果转化平台。补齐智能器件配套短板，定向引入北京高精度智能传感器、智能仪器仪表等高新技术企业，通过“核心设备</w:t>
            </w:r>
            <w:r>
              <w:rPr>
                <w:sz w:val="30"/>
                <w:szCs w:val="30"/>
              </w:rPr>
              <w:t>+</w:t>
            </w:r>
            <w:r>
              <w:rPr>
                <w:rFonts w:hint="eastAsia"/>
                <w:sz w:val="30"/>
                <w:szCs w:val="30"/>
              </w:rPr>
              <w:t>配套器件”的联动发展，填补本地产业链“感知—控制”环节空白，完善产业链条支撑。</w:t>
            </w:r>
            <w:r>
              <w:rPr>
                <w:rFonts w:hint="eastAsia" w:cs="Times New Roman"/>
                <w:sz w:val="30"/>
                <w:szCs w:val="30"/>
              </w:rPr>
              <w:t>积极发展机器人产业，重点引进北京工业机器人、服务机器人整机及核心部件企业，推动“研发</w:t>
            </w:r>
            <w:r>
              <w:rPr>
                <w:rFonts w:hint="eastAsia"/>
                <w:sz w:val="30"/>
                <w:szCs w:val="30"/>
              </w:rPr>
              <w:t>—</w:t>
            </w:r>
            <w:r>
              <w:rPr>
                <w:rFonts w:hint="eastAsia" w:cs="Times New Roman"/>
                <w:sz w:val="30"/>
                <w:szCs w:val="30"/>
              </w:rPr>
              <w:t>生产</w:t>
            </w:r>
            <w:r>
              <w:rPr>
                <w:rFonts w:hint="eastAsia"/>
                <w:sz w:val="30"/>
                <w:szCs w:val="30"/>
              </w:rPr>
              <w:t>—</w:t>
            </w:r>
            <w:r>
              <w:rPr>
                <w:rFonts w:hint="eastAsia" w:cs="Times New Roman"/>
                <w:sz w:val="30"/>
                <w:szCs w:val="30"/>
              </w:rPr>
              <w:t>应用”闭环发展。积极发展风电设备产业，实现“风电整机</w:t>
            </w:r>
            <w:r>
              <w:rPr>
                <w:rFonts w:cs="Times New Roman"/>
                <w:sz w:val="30"/>
                <w:szCs w:val="30"/>
              </w:rPr>
              <w:t>+</w:t>
            </w:r>
            <w:r>
              <w:rPr>
                <w:rFonts w:hint="eastAsia" w:cs="Times New Roman"/>
                <w:sz w:val="30"/>
                <w:szCs w:val="30"/>
              </w:rPr>
              <w:t>智能控制</w:t>
            </w:r>
            <w:r>
              <w:rPr>
                <w:rFonts w:cs="Times New Roman"/>
                <w:sz w:val="30"/>
                <w:szCs w:val="30"/>
              </w:rPr>
              <w:t>+</w:t>
            </w:r>
            <w:r>
              <w:rPr>
                <w:rFonts w:hint="eastAsia" w:cs="Times New Roman"/>
                <w:sz w:val="30"/>
                <w:szCs w:val="30"/>
              </w:rPr>
              <w:t>配套器件”的协同发展，形成具备区域竞争力的风电设备产业集群。</w:t>
            </w:r>
            <w:r>
              <w:rPr>
                <w:rFonts w:hint="eastAsia"/>
                <w:b/>
                <w:bCs/>
                <w:sz w:val="30"/>
                <w:szCs w:val="30"/>
              </w:rPr>
              <w:t>以点带面，培育</w:t>
            </w:r>
            <w:bookmarkStart w:id="22" w:name="_Hlk213859076"/>
            <w:r>
              <w:rPr>
                <w:rFonts w:hint="eastAsia"/>
                <w:b/>
                <w:bCs/>
                <w:sz w:val="30"/>
                <w:szCs w:val="30"/>
              </w:rPr>
              <w:t>新材料产业集群</w:t>
            </w:r>
            <w:bookmarkEnd w:id="22"/>
            <w:r>
              <w:rPr>
                <w:rFonts w:hint="eastAsia"/>
                <w:b/>
                <w:bCs/>
                <w:sz w:val="30"/>
                <w:szCs w:val="30"/>
              </w:rPr>
              <w:t>。</w:t>
            </w:r>
            <w:r>
              <w:rPr>
                <w:rFonts w:hint="eastAsia"/>
                <w:sz w:val="30"/>
                <w:szCs w:val="30"/>
              </w:rPr>
              <w:t>围绕京津两地产业发展需求，联合京津两地研究院所，</w:t>
            </w:r>
            <w:bookmarkStart w:id="23" w:name="_Hlk213859099"/>
            <w:r>
              <w:rPr>
                <w:rFonts w:hint="eastAsia"/>
                <w:sz w:val="30"/>
                <w:szCs w:val="30"/>
              </w:rPr>
              <w:t>重点发展先进半导体材料</w:t>
            </w:r>
            <w:bookmarkEnd w:id="23"/>
            <w:bookmarkStart w:id="24" w:name="_Hlk213859108"/>
            <w:r>
              <w:rPr>
                <w:rFonts w:hint="eastAsia"/>
                <w:sz w:val="30"/>
                <w:szCs w:val="30"/>
              </w:rPr>
              <w:t>、新型显示材料</w:t>
            </w:r>
            <w:bookmarkEnd w:id="24"/>
            <w:bookmarkStart w:id="25" w:name="_Hlk213859122"/>
            <w:r>
              <w:rPr>
                <w:rFonts w:hint="eastAsia"/>
                <w:sz w:val="30"/>
                <w:szCs w:val="30"/>
              </w:rPr>
              <w:t>、高端合金材料</w:t>
            </w:r>
            <w:bookmarkEnd w:id="25"/>
            <w:r>
              <w:rPr>
                <w:rFonts w:hint="eastAsia"/>
                <w:sz w:val="30"/>
                <w:szCs w:val="30"/>
              </w:rPr>
              <w:t>，深耕</w:t>
            </w:r>
            <w:bookmarkStart w:id="26" w:name="_Hlk213859138"/>
            <w:r>
              <w:rPr>
                <w:rFonts w:hint="eastAsia"/>
                <w:sz w:val="30"/>
                <w:szCs w:val="30"/>
              </w:rPr>
              <w:t>稀土新材料</w:t>
            </w:r>
            <w:bookmarkEnd w:id="26"/>
            <w:r>
              <w:rPr>
                <w:rFonts w:hint="eastAsia"/>
                <w:sz w:val="30"/>
                <w:szCs w:val="30"/>
              </w:rPr>
              <w:t>领域，为区域产业发展提供新材料技术支撑</w:t>
            </w:r>
            <w:bookmarkStart w:id="27" w:name="_Hlk213859513"/>
            <w:r>
              <w:rPr>
                <w:rFonts w:hint="eastAsia"/>
                <w:sz w:val="30"/>
                <w:szCs w:val="30"/>
              </w:rPr>
              <w:t>。</w:t>
            </w:r>
            <w:bookmarkEnd w:id="27"/>
            <w:r>
              <w:rPr>
                <w:rFonts w:hint="eastAsia"/>
                <w:sz w:val="30"/>
                <w:szCs w:val="30"/>
              </w:rPr>
              <w:t>打造新材料科创园，发挥行业龙头带动作用，吸引一批上下游企业入驻。重点引入磁材产业项目，建强稀土产业链。</w:t>
            </w:r>
            <w:r>
              <w:rPr>
                <w:rFonts w:hint="eastAsia" w:cs="Times New Roman"/>
                <w:b/>
                <w:bCs/>
                <w:sz w:val="30"/>
                <w:szCs w:val="30"/>
              </w:rPr>
              <w:t>以新提质，做强新一代信息技术。</w:t>
            </w:r>
            <w:r>
              <w:rPr>
                <w:rFonts w:hint="eastAsia" w:cs="Times New Roman"/>
                <w:bCs/>
                <w:sz w:val="30"/>
                <w:szCs w:val="30"/>
              </w:rPr>
              <w:t>做优算力基地，</w:t>
            </w:r>
            <w:r>
              <w:rPr>
                <w:rFonts w:hint="eastAsia" w:cs="Times New Roman"/>
                <w:sz w:val="30"/>
                <w:szCs w:val="30"/>
              </w:rPr>
              <w:t>推进重点项目建设，打造绿色智能数据中心标杆。</w:t>
            </w:r>
            <w:r>
              <w:rPr>
                <w:rFonts w:cs="Times New Roman"/>
                <w:sz w:val="30"/>
                <w:szCs w:val="30"/>
              </w:rPr>
              <w:t>依托智能网联公交示范平台，扩大智能网联场景与主机厂测试应用，与中汽研开展务实合作，吸引算力需求项目集聚并纳入中汽研体系，开展智能驾驶技术认证测试。</w:t>
            </w:r>
            <w:r>
              <w:rPr>
                <w:rFonts w:hint="eastAsia" w:cs="Times New Roman"/>
                <w:sz w:val="30"/>
                <w:szCs w:val="30"/>
              </w:rPr>
              <w:t>打造数据服务体系，探索构建“通算</w:t>
            </w:r>
            <w:r>
              <w:rPr>
                <w:rFonts w:cs="Times New Roman"/>
                <w:sz w:val="30"/>
                <w:szCs w:val="30"/>
              </w:rPr>
              <w:t>+</w:t>
            </w:r>
            <w:r>
              <w:rPr>
                <w:rFonts w:hint="eastAsia" w:cs="Times New Roman"/>
                <w:sz w:val="30"/>
                <w:szCs w:val="30"/>
              </w:rPr>
              <w:t>智算</w:t>
            </w:r>
            <w:r>
              <w:rPr>
                <w:rFonts w:cs="Times New Roman"/>
                <w:sz w:val="30"/>
                <w:szCs w:val="30"/>
              </w:rPr>
              <w:t>+</w:t>
            </w:r>
            <w:r>
              <w:rPr>
                <w:rFonts w:hint="eastAsia" w:cs="Times New Roman"/>
                <w:sz w:val="30"/>
                <w:szCs w:val="30"/>
              </w:rPr>
              <w:t>边算”一体化资源池，积极接入区域算力网络，承接京津溢出算力需求。吸引从硬件、软件到行业应用、前沿创新的上下游企业集聚，</w:t>
            </w:r>
            <w:r>
              <w:rPr>
                <w:rFonts w:cs="Times New Roman"/>
                <w:sz w:val="30"/>
                <w:szCs w:val="30"/>
              </w:rPr>
              <w:t>形成“既有本地化算力供应</w:t>
            </w:r>
            <w:r>
              <w:rPr>
                <w:rFonts w:hint="eastAsia" w:cs="Times New Roman"/>
                <w:sz w:val="30"/>
                <w:szCs w:val="30"/>
              </w:rPr>
              <w:t>，</w:t>
            </w:r>
            <w:r>
              <w:rPr>
                <w:rFonts w:cs="Times New Roman"/>
                <w:sz w:val="30"/>
                <w:szCs w:val="30"/>
              </w:rPr>
              <w:t>又有本地化算力需求”的良好局面。</w:t>
            </w:r>
          </w:p>
          <w:p w14:paraId="19DA01ED">
            <w:pPr>
              <w:adjustRightInd w:val="0"/>
              <w:snapToGrid w:val="0"/>
              <w:ind w:firstLine="602"/>
              <w:rPr>
                <w:sz w:val="30"/>
                <w:szCs w:val="30"/>
              </w:rPr>
            </w:pPr>
            <w:r>
              <w:rPr>
                <w:rFonts w:hint="eastAsia"/>
                <w:b/>
                <w:bCs/>
                <w:sz w:val="30"/>
                <w:szCs w:val="30"/>
              </w:rPr>
              <w:t>（二）谋划两大新赛道。培育低空经济新优势，</w:t>
            </w:r>
            <w:r>
              <w:rPr>
                <w:rFonts w:hint="eastAsia"/>
                <w:bCs/>
                <w:sz w:val="30"/>
                <w:szCs w:val="30"/>
              </w:rPr>
              <w:t>因地制宜统筹规划</w:t>
            </w:r>
            <w:r>
              <w:rPr>
                <w:bCs/>
                <w:sz w:val="30"/>
                <w:szCs w:val="30"/>
              </w:rPr>
              <w:t>eVTOL及无人机起降场地，</w:t>
            </w:r>
            <w:r>
              <w:rPr>
                <w:rFonts w:hint="eastAsia"/>
                <w:bCs/>
                <w:sz w:val="30"/>
                <w:szCs w:val="30"/>
              </w:rPr>
              <w:t>面向</w:t>
            </w:r>
            <w:r>
              <w:rPr>
                <w:bCs/>
                <w:sz w:val="30"/>
                <w:szCs w:val="30"/>
              </w:rPr>
              <w:t>京津冀</w:t>
            </w:r>
            <w:r>
              <w:rPr>
                <w:rFonts w:hint="eastAsia"/>
                <w:bCs/>
                <w:sz w:val="30"/>
                <w:szCs w:val="30"/>
              </w:rPr>
              <w:t>区域，高水平打造</w:t>
            </w:r>
            <w:r>
              <w:rPr>
                <w:bCs/>
                <w:sz w:val="30"/>
                <w:szCs w:val="30"/>
              </w:rPr>
              <w:t>低空物流重要节点</w:t>
            </w:r>
            <w:r>
              <w:rPr>
                <w:rFonts w:hint="eastAsia"/>
                <w:bCs/>
                <w:sz w:val="30"/>
                <w:szCs w:val="30"/>
              </w:rPr>
              <w:t>、</w:t>
            </w:r>
            <w:r>
              <w:rPr>
                <w:bCs/>
                <w:sz w:val="30"/>
                <w:szCs w:val="30"/>
              </w:rPr>
              <w:t>飞行服务站，打造低空经济孵化器；</w:t>
            </w:r>
            <w:r>
              <w:rPr>
                <w:rFonts w:hint="eastAsia"/>
                <w:bCs/>
                <w:sz w:val="30"/>
                <w:szCs w:val="30"/>
              </w:rPr>
              <w:t>吸引北京及周边无人机、零部件企业</w:t>
            </w:r>
            <w:r>
              <w:rPr>
                <w:rFonts w:hint="eastAsia"/>
                <w:sz w:val="30"/>
                <w:szCs w:val="30"/>
              </w:rPr>
              <w:t>集聚，</w:t>
            </w:r>
            <w:r>
              <w:rPr>
                <w:bCs/>
                <w:sz w:val="30"/>
                <w:szCs w:val="30"/>
              </w:rPr>
              <w:t>与物流企业打造无人机物流配送示范场景</w:t>
            </w:r>
            <w:r>
              <w:rPr>
                <w:rFonts w:hint="eastAsia"/>
                <w:bCs/>
                <w:sz w:val="30"/>
                <w:szCs w:val="30"/>
              </w:rPr>
              <w:t>；</w:t>
            </w:r>
            <w:r>
              <w:rPr>
                <w:rFonts w:hint="eastAsia"/>
                <w:sz w:val="30"/>
                <w:szCs w:val="30"/>
              </w:rPr>
              <w:t>依托天津首家中国民航局（CAAC）无人机驾驶员考试中心，打造飞手培训特色服务。</w:t>
            </w:r>
            <w:bookmarkStart w:id="28" w:name="_Hlk213859616"/>
            <w:r>
              <w:rPr>
                <w:rFonts w:hint="eastAsia"/>
                <w:b/>
                <w:sz w:val="30"/>
                <w:szCs w:val="30"/>
              </w:rPr>
              <w:t>打造</w:t>
            </w:r>
            <w:r>
              <w:rPr>
                <w:rFonts w:hint="eastAsia"/>
                <w:b/>
                <w:bCs/>
                <w:sz w:val="30"/>
                <w:szCs w:val="30"/>
              </w:rPr>
              <w:t>数字经济</w:t>
            </w:r>
            <w:bookmarkEnd w:id="28"/>
            <w:r>
              <w:rPr>
                <w:rFonts w:hint="eastAsia"/>
                <w:b/>
                <w:bCs/>
                <w:sz w:val="30"/>
                <w:szCs w:val="30"/>
              </w:rPr>
              <w:t>新业态，</w:t>
            </w:r>
            <w:r>
              <w:rPr>
                <w:rFonts w:hint="eastAsia"/>
                <w:sz w:val="30"/>
                <w:szCs w:val="30"/>
              </w:rPr>
              <w:t>发展电商直播产业，助力乡村振兴；推动</w:t>
            </w:r>
            <w:bookmarkStart w:id="29" w:name="_Hlk213859636"/>
            <w:r>
              <w:rPr>
                <w:rFonts w:hint="eastAsia"/>
                <w:sz w:val="30"/>
                <w:szCs w:val="30"/>
              </w:rPr>
              <w:t>算力基地建设</w:t>
            </w:r>
            <w:bookmarkEnd w:id="29"/>
            <w:r>
              <w:rPr>
                <w:rFonts w:hint="eastAsia"/>
                <w:sz w:val="30"/>
                <w:szCs w:val="30"/>
              </w:rPr>
              <w:t>，加强云计算及智能算力服务</w:t>
            </w:r>
            <w:bookmarkStart w:id="30" w:name="_Hlk213859644"/>
            <w:r>
              <w:rPr>
                <w:rFonts w:hint="eastAsia"/>
                <w:sz w:val="30"/>
                <w:szCs w:val="30"/>
              </w:rPr>
              <w:t>供给；</w:t>
            </w:r>
            <w:bookmarkEnd w:id="30"/>
            <w:r>
              <w:rPr>
                <w:rFonts w:hint="eastAsia"/>
                <w:sz w:val="30"/>
                <w:szCs w:val="30"/>
              </w:rPr>
              <w:t>做强</w:t>
            </w:r>
            <w:bookmarkStart w:id="31" w:name="_Hlk213859657"/>
            <w:r>
              <w:rPr>
                <w:rFonts w:hint="eastAsia"/>
                <w:sz w:val="30"/>
                <w:szCs w:val="30"/>
              </w:rPr>
              <w:t>数字创意产业</w:t>
            </w:r>
            <w:bookmarkEnd w:id="31"/>
            <w:r>
              <w:rPr>
                <w:rFonts w:hint="eastAsia"/>
                <w:sz w:val="30"/>
                <w:szCs w:val="30"/>
              </w:rPr>
              <w:t>，吸引一批数字文创和游戏相关企业落户</w:t>
            </w:r>
            <w:bookmarkStart w:id="32" w:name="_Hlk213859757"/>
            <w:r>
              <w:rPr>
                <w:rFonts w:hint="eastAsia"/>
                <w:sz w:val="30"/>
                <w:szCs w:val="30"/>
              </w:rPr>
              <w:t>。</w:t>
            </w:r>
            <w:bookmarkEnd w:id="32"/>
            <w:r>
              <w:rPr>
                <w:rFonts w:hint="eastAsia"/>
                <w:sz w:val="30"/>
                <w:szCs w:val="30"/>
              </w:rPr>
              <w:t xml:space="preserve"> </w:t>
            </w:r>
          </w:p>
          <w:p w14:paraId="5052EB24">
            <w:pPr>
              <w:adjustRightInd w:val="0"/>
              <w:snapToGrid w:val="0"/>
              <w:ind w:firstLine="602"/>
              <w:rPr>
                <w:rFonts w:cs="Times New Roman"/>
                <w:b/>
                <w:bCs/>
                <w:sz w:val="30"/>
                <w:szCs w:val="30"/>
              </w:rPr>
            </w:pPr>
            <w:r>
              <w:rPr>
                <w:rFonts w:hint="eastAsia" w:cs="Times New Roman"/>
                <w:b/>
                <w:bCs/>
                <w:sz w:val="30"/>
                <w:szCs w:val="30"/>
              </w:rPr>
              <w:t>（三）支撑宝坻创建国家农高区。</w:t>
            </w:r>
            <w:r>
              <w:rPr>
                <w:rFonts w:hint="eastAsia" w:cs="Times New Roman"/>
                <w:bCs/>
                <w:sz w:val="30"/>
                <w:szCs w:val="30"/>
              </w:rPr>
              <w:t>打造快消品产业园，借势宝坻区国家农业高新技术产业示范区筹建，吸引知名熟食加工、功能饮料等一批快消品项目集聚，逐步形成“研发—制造—流通”一体化的快消品产业生态，成为京津冀都市圈健康食品创新高地。加强与中国农业科学院、中国农业大学、天津农学院等科研院校合作对接，培育快消品研发生态。强化龙头引领，吸引快消品头部企业设立区域生产基地，配套中小型代工企业形成“龙头</w:t>
            </w:r>
            <w:r>
              <w:rPr>
                <w:rFonts w:cs="Times New Roman"/>
                <w:bCs/>
                <w:sz w:val="30"/>
                <w:szCs w:val="30"/>
              </w:rPr>
              <w:t>+孵化”模式。</w:t>
            </w:r>
            <w:r>
              <w:rPr>
                <w:rFonts w:hint="eastAsia" w:cs="Times New Roman"/>
                <w:bCs/>
                <w:sz w:val="30"/>
                <w:szCs w:val="30"/>
              </w:rPr>
              <w:t>提高产业数字化水平，鼓励企业采用自动化生产线、数字化仓储管理系统</w:t>
            </w:r>
            <w:r>
              <w:rPr>
                <w:rFonts w:cs="Times New Roman"/>
                <w:bCs/>
                <w:sz w:val="30"/>
                <w:szCs w:val="30"/>
              </w:rPr>
              <w:t>，打造“透明工厂”。</w:t>
            </w:r>
          </w:p>
        </w:tc>
      </w:tr>
    </w:tbl>
    <w:p w14:paraId="178FD91F">
      <w:pPr>
        <w:pStyle w:val="4"/>
        <w:spacing w:before="217" w:after="217"/>
        <w:rPr>
          <w:rStyle w:val="37"/>
          <w:rFonts w:ascii="宋体" w:hAnsi="宋体" w:cs="Times New Roman"/>
        </w:rPr>
      </w:pPr>
      <w:bookmarkStart w:id="33" w:name="_Toc219068707"/>
      <w:r>
        <w:rPr>
          <w:rFonts w:hint="eastAsia" w:ascii="宋体" w:hAnsi="宋体"/>
        </w:rPr>
        <w:t>第二节 深化京津冀科技创新协同和产业体系融合</w:t>
      </w:r>
      <w:bookmarkEnd w:id="18"/>
      <w:bookmarkEnd w:id="33"/>
    </w:p>
    <w:p w14:paraId="37247B28">
      <w:pPr>
        <w:ind w:firstLine="640"/>
      </w:pPr>
      <w:bookmarkStart w:id="34" w:name="_Hlk212565482"/>
      <w:r>
        <w:rPr>
          <w:rFonts w:hint="eastAsia"/>
        </w:rPr>
        <w:t>全面融入现代化首都都市圈，更加主动服务非首都功能疏解，深化科技创新协同和产业体系融合。</w:t>
      </w:r>
    </w:p>
    <w:bookmarkEnd w:id="34"/>
    <w:p w14:paraId="012E760B">
      <w:pPr>
        <w:ind w:firstLine="640"/>
      </w:pPr>
      <w:bookmarkStart w:id="35" w:name="_Hlk213924974"/>
      <w:r>
        <w:rPr>
          <w:rFonts w:hint="eastAsia" w:eastAsia="楷体" w:cs="楷体"/>
          <w:bCs/>
          <w:szCs w:val="32"/>
        </w:rPr>
        <w:t>推动市场化引进京津冀资源要素。</w:t>
      </w:r>
      <w:bookmarkEnd w:id="35"/>
      <w:r>
        <w:rPr>
          <w:rFonts w:hint="eastAsia"/>
        </w:rPr>
        <w:t>积极</w:t>
      </w:r>
      <w:r>
        <w:rPr>
          <w:rFonts w:hint="eastAsia" w:cs="楷体"/>
          <w:bCs/>
          <w:szCs w:val="32"/>
        </w:rPr>
        <w:t>参与</w:t>
      </w:r>
      <w:r>
        <w:rPr>
          <w:rFonts w:hint="eastAsia"/>
        </w:rPr>
        <w:t>北京（京津冀）国际科技创新中心建设，</w:t>
      </w:r>
      <w:r>
        <w:rPr>
          <w:rFonts w:hint="eastAsia" w:cs="楷体"/>
          <w:bCs/>
          <w:szCs w:val="32"/>
        </w:rPr>
        <w:t>深度</w:t>
      </w:r>
      <w:r>
        <w:rPr>
          <w:rFonts w:hint="eastAsia"/>
        </w:rPr>
        <w:t>融入首都科创服务体系。市场化引进央企二三级公司、科研院所、结算服务中心以及商务服务、科技服务、数字经济等前沿业态。加强与各类创新资源、产业资源、服务资源的常态化、市场化、机制化有效对接，推动京津冀各类资源要素向宝坻聚集。</w:t>
      </w:r>
    </w:p>
    <w:p w14:paraId="3CA6FFA8">
      <w:pPr>
        <w:ind w:firstLine="640"/>
      </w:pPr>
      <w:bookmarkStart w:id="36" w:name="_Hlk213924990"/>
      <w:r>
        <w:rPr>
          <w:rFonts w:hint="eastAsia" w:eastAsia="楷体" w:cs="楷体"/>
          <w:bCs/>
          <w:szCs w:val="32"/>
        </w:rPr>
        <w:t>着力构建产业协同体系</w:t>
      </w:r>
      <w:bookmarkEnd w:id="36"/>
      <w:r>
        <w:rPr>
          <w:rFonts w:hint="eastAsia" w:eastAsia="楷体" w:cs="楷体"/>
          <w:bCs/>
          <w:szCs w:val="32"/>
        </w:rPr>
        <w:t>。</w:t>
      </w:r>
      <w:r>
        <w:rPr>
          <w:rFonts w:hint="eastAsia"/>
        </w:rPr>
        <w:t>以构建高度契合的</w:t>
      </w:r>
      <w:bookmarkStart w:id="37" w:name="_Hlk213926342"/>
      <w:r>
        <w:rPr>
          <w:rFonts w:hint="eastAsia"/>
        </w:rPr>
        <w:t>产业协同合作发展体系为目标，</w:t>
      </w:r>
      <w:r>
        <w:rPr>
          <w:rFonts w:hint="eastAsia"/>
          <w:szCs w:val="32"/>
        </w:rPr>
        <w:t>制定完善区域协调联动一体化产业发展工作方案，</w:t>
      </w:r>
      <w:r>
        <w:rPr>
          <w:rFonts w:hint="eastAsia"/>
        </w:rPr>
        <w:t>完善区域内产业链配套体系。推动区域优势产业链群扩容升级，</w:t>
      </w:r>
      <w:bookmarkEnd w:id="37"/>
      <w:r>
        <w:rPr>
          <w:rFonts w:hint="eastAsia" w:cs="仿宋_GB2312"/>
          <w:szCs w:val="32"/>
        </w:rPr>
        <w:t>实现产业错位联动。提升高端装备制造、汽车配件等产业在京津冀产业协作中的嵌入度、贡献度，</w:t>
      </w:r>
      <w:r>
        <w:rPr>
          <w:rFonts w:hint="eastAsia"/>
        </w:rPr>
        <w:t>围绕卡点堵点联合开展补链强链行动</w:t>
      </w:r>
      <w:r>
        <w:rPr>
          <w:rFonts w:hint="eastAsia" w:cs="仿宋_GB2312"/>
          <w:szCs w:val="32"/>
        </w:rPr>
        <w:t>。</w:t>
      </w:r>
      <w:r>
        <w:rPr>
          <w:rFonts w:hint="eastAsia"/>
        </w:rPr>
        <w:t>依托清洁能源优势，破解通州、北三县大数据产业的能源壁垒，引进</w:t>
      </w:r>
      <w:bookmarkStart w:id="38" w:name="_Hlk213925022"/>
      <w:r>
        <w:rPr>
          <w:rFonts w:hint="eastAsia"/>
        </w:rPr>
        <w:t>大数据</w:t>
      </w:r>
      <w:bookmarkEnd w:id="38"/>
      <w:r>
        <w:rPr>
          <w:rFonts w:hint="eastAsia"/>
        </w:rPr>
        <w:t>项目，为区域智能产业发展提供算力支撑。</w:t>
      </w:r>
    </w:p>
    <w:p w14:paraId="3B084197">
      <w:pPr>
        <w:ind w:firstLine="640"/>
      </w:pPr>
      <w:bookmarkStart w:id="39" w:name="_Hlk213925089"/>
      <w:r>
        <w:rPr>
          <w:rFonts w:hint="eastAsia" w:eastAsia="楷体" w:cs="楷体"/>
          <w:bCs/>
          <w:szCs w:val="32"/>
        </w:rPr>
        <w:t>实施高端产业引育行动</w:t>
      </w:r>
      <w:bookmarkEnd w:id="39"/>
      <w:r>
        <w:rPr>
          <w:rFonts w:hint="eastAsia" w:eastAsia="楷体" w:cs="楷体"/>
          <w:bCs/>
          <w:szCs w:val="32"/>
        </w:rPr>
        <w:t>。</w:t>
      </w:r>
      <w:r>
        <w:rPr>
          <w:rFonts w:hint="eastAsia"/>
        </w:rPr>
        <w:t>发挥链主企业领航作用，</w:t>
      </w:r>
      <w:r>
        <w:rPr>
          <w:rFonts w:hint="eastAsia" w:cs="仿宋_GB2312"/>
          <w:szCs w:val="32"/>
        </w:rPr>
        <w:t>着力构建产业协同链群，</w:t>
      </w:r>
      <w:r>
        <w:rPr>
          <w:rFonts w:hint="eastAsia" w:cs="Times New Roman"/>
        </w:rPr>
        <w:t>锚定北京高端产业制造环节转移，</w:t>
      </w:r>
      <w:r>
        <w:rPr>
          <w:rFonts w:hint="eastAsia" w:cs="仿宋_GB2312"/>
          <w:szCs w:val="32"/>
        </w:rPr>
        <w:t>推进功能互补与产业跨区域分工合作。</w:t>
      </w:r>
      <w:r>
        <w:rPr>
          <w:rFonts w:hint="eastAsia"/>
        </w:rPr>
        <w:t>引进一批高端装备、生物医药、人工智能、智能网联汽车、低空经济等领域龙头企业，</w:t>
      </w:r>
      <w:r>
        <w:rPr>
          <w:rFonts w:hint="eastAsia"/>
          <w:szCs w:val="32"/>
        </w:rPr>
        <w:t>主动参与京津冀新一代信息技术应用创新、京津冀智能网联新能源汽车等产业跨区域分工合作。</w:t>
      </w:r>
      <w:r>
        <w:rPr>
          <w:rFonts w:hint="eastAsia"/>
        </w:rPr>
        <w:t>推动同类产业加快集聚和上下游产业链延伸，加快打造更富韧性的制造业产业链。</w:t>
      </w:r>
    </w:p>
    <w:p w14:paraId="232ABE4D">
      <w:pPr>
        <w:pStyle w:val="4"/>
        <w:spacing w:before="217" w:after="217"/>
        <w:rPr>
          <w:rFonts w:ascii="宋体" w:hAnsi="宋体"/>
        </w:rPr>
      </w:pPr>
      <w:bookmarkStart w:id="40" w:name="_Toc212560059"/>
      <w:bookmarkStart w:id="41" w:name="_Toc219068708"/>
      <w:r>
        <w:rPr>
          <w:rFonts w:hint="eastAsia" w:ascii="宋体" w:hAnsi="宋体"/>
        </w:rPr>
        <w:t>第三节 纵深推进“京东黄金走廊”多领域协同合作</w:t>
      </w:r>
      <w:bookmarkEnd w:id="40"/>
      <w:bookmarkEnd w:id="41"/>
    </w:p>
    <w:p w14:paraId="0AC0839F">
      <w:pPr>
        <w:ind w:firstLine="640"/>
      </w:pPr>
      <w:r>
        <w:rPr>
          <w:rFonts w:hint="eastAsia"/>
        </w:rPr>
        <w:t>坚持资源共享、协同治理、功能互补、融合互动原则，促进与通州、唐山、北三县等周边区域在人才教育、医疗社保、生态建设、文旅产业等领域协同发展，</w:t>
      </w:r>
      <w:bookmarkStart w:id="42" w:name="_Hlk207804508"/>
      <w:r>
        <w:rPr>
          <w:rFonts w:hint="eastAsia"/>
        </w:rPr>
        <w:t>携手打造区域协同发展的“京东黄金走廊”。</w:t>
      </w:r>
      <w:bookmarkEnd w:id="42"/>
    </w:p>
    <w:p w14:paraId="00576801">
      <w:pPr>
        <w:ind w:firstLine="640"/>
      </w:pPr>
      <w:r>
        <w:rPr>
          <w:rFonts w:hint="eastAsia" w:eastAsia="楷体" w:cs="楷体"/>
          <w:bCs/>
          <w:szCs w:val="32"/>
        </w:rPr>
        <w:t>以“人才走廊”建设为支撑。</w:t>
      </w:r>
      <w:r>
        <w:rPr>
          <w:rFonts w:hint="eastAsia" w:cs="仿宋_GB2312"/>
          <w:szCs w:val="32"/>
        </w:rPr>
        <w:t>促进“教育</w:t>
      </w:r>
      <w:r>
        <w:rPr>
          <w:rFonts w:hint="eastAsia" w:eastAsia="宋体"/>
        </w:rPr>
        <w:t>—</w:t>
      </w:r>
      <w:r>
        <w:rPr>
          <w:rFonts w:hint="eastAsia" w:cs="仿宋_GB2312"/>
          <w:szCs w:val="32"/>
        </w:rPr>
        <w:t>科技</w:t>
      </w:r>
      <w:r>
        <w:rPr>
          <w:rFonts w:hint="eastAsia" w:eastAsia="宋体"/>
        </w:rPr>
        <w:t>—</w:t>
      </w:r>
      <w:r>
        <w:rPr>
          <w:rFonts w:hint="eastAsia" w:cs="仿宋_GB2312"/>
          <w:szCs w:val="32"/>
        </w:rPr>
        <w:t>人才”联动发展</w:t>
      </w:r>
      <w:r>
        <w:rPr>
          <w:rFonts w:hint="eastAsia"/>
          <w:bCs/>
        </w:rPr>
        <w:t>，</w:t>
      </w:r>
      <w:r>
        <w:rPr>
          <w:rFonts w:hint="eastAsia"/>
        </w:rPr>
        <w:t>充分利用</w:t>
      </w:r>
      <w:r>
        <w:t>“通宝唐”区域人才交流</w:t>
      </w:r>
      <w:r>
        <w:rPr>
          <w:rFonts w:hint="eastAsia"/>
        </w:rPr>
        <w:t>机制</w:t>
      </w:r>
      <w:r>
        <w:t>，</w:t>
      </w:r>
      <w:r>
        <w:rPr>
          <w:rFonts w:hint="eastAsia"/>
        </w:rPr>
        <w:t>用好信息共享和定期发布人才招聘信息机制，不断</w:t>
      </w:r>
      <w:r>
        <w:t>深化人才跨区域资质互认</w:t>
      </w:r>
      <w:r>
        <w:rPr>
          <w:rFonts w:hint="eastAsia"/>
        </w:rPr>
        <w:t>。加强政策支持，发挥创新载体作用，加大创新团队和科创英才引进力度，让</w:t>
      </w:r>
      <w:bookmarkStart w:id="43" w:name="_Hlk213925228"/>
      <w:r>
        <w:rPr>
          <w:rFonts w:hint="eastAsia"/>
        </w:rPr>
        <w:t>人才在宝坻创业有平台、生活有保障</w:t>
      </w:r>
      <w:bookmarkEnd w:id="43"/>
      <w:r>
        <w:rPr>
          <w:rFonts w:hint="eastAsia"/>
        </w:rPr>
        <w:t>。</w:t>
      </w:r>
      <w:r>
        <w:t>发挥“密宝唐”</w:t>
      </w:r>
      <w:r>
        <w:rPr>
          <w:rFonts w:hint="eastAsia" w:cs="仿宋_GB2312"/>
          <w:szCs w:val="32"/>
        </w:rPr>
        <w:t>“通宝香”</w:t>
      </w:r>
      <w:r>
        <w:t>职教联盟作用，促进职业教育与产业发展深度融合、校企深度合作、职业教育联动发展</w:t>
      </w:r>
      <w:r>
        <w:rPr>
          <w:rFonts w:hint="eastAsia"/>
        </w:rPr>
        <w:t>，创响京津冀职业教育品牌</w:t>
      </w:r>
      <w:r>
        <w:t>。</w:t>
      </w:r>
    </w:p>
    <w:p w14:paraId="2B1764C6">
      <w:pPr>
        <w:ind w:firstLine="640"/>
      </w:pPr>
      <w:r>
        <w:rPr>
          <w:rFonts w:hint="eastAsia" w:eastAsia="楷体" w:cs="楷体"/>
          <w:bCs/>
          <w:szCs w:val="32"/>
        </w:rPr>
        <w:t>以“服务走廊”建设为抓手。</w:t>
      </w:r>
      <w:r>
        <w:rPr>
          <w:rFonts w:hint="eastAsia"/>
        </w:rPr>
        <w:t>推动“社保</w:t>
      </w:r>
      <w:r>
        <w:rPr>
          <w:rFonts w:hint="eastAsia" w:eastAsia="宋体"/>
        </w:rPr>
        <w:t>—</w:t>
      </w:r>
      <w:r>
        <w:rPr>
          <w:rFonts w:hint="eastAsia"/>
        </w:rPr>
        <w:t>医疗</w:t>
      </w:r>
      <w:r>
        <w:rPr>
          <w:rFonts w:hint="eastAsia" w:eastAsia="宋体"/>
        </w:rPr>
        <w:t>—</w:t>
      </w:r>
      <w:r>
        <w:rPr>
          <w:rFonts w:hint="eastAsia"/>
        </w:rPr>
        <w:t>养老”协同合作，</w:t>
      </w:r>
      <w:r>
        <w:rPr>
          <w:rFonts w:hint="eastAsia"/>
          <w:szCs w:val="32"/>
        </w:rPr>
        <w:t>在京津冀区域率先开展一批跨区域政策互通、资质互认、资源互享、平台互动试点工作。</w:t>
      </w:r>
      <w:r>
        <w:t>积极融入京津冀区域医疗保障合作，</w:t>
      </w:r>
      <w:r>
        <w:rPr>
          <w:rFonts w:hint="eastAsia"/>
        </w:rPr>
        <w:t>探索</w:t>
      </w:r>
      <w:r>
        <w:t>扩大异地就医直接结算范围，拓展医学检验结果互认和医学影像资料共享</w:t>
      </w:r>
      <w:r>
        <w:rPr>
          <w:rFonts w:hint="eastAsia"/>
        </w:rPr>
        <w:t>。推进与京津冀医疗卫生机构在临床医学、预防医学和卫生管理领域的科研合作。</w:t>
      </w:r>
      <w:r>
        <w:t>逐步建立健全三地养老保险待遇领取资格认定信息协调机制，畅通京津冀失业保险</w:t>
      </w:r>
      <w:r>
        <w:rPr>
          <w:rFonts w:hint="eastAsia"/>
        </w:rPr>
        <w:t>关系</w:t>
      </w:r>
      <w:r>
        <w:t>转移接续渠道</w:t>
      </w:r>
      <w:r>
        <w:rPr>
          <w:rFonts w:hint="eastAsia"/>
        </w:rPr>
        <w:t>，做好工伤认定异地委托合作协议工作。提高京津冀跨区域养老服务水平，引进北京企业先进经营管理理念，实施项目合作。完善异地办理事项全流程协调联动服务机制，扩大跨域通办的领域和服务事项范围。</w:t>
      </w:r>
    </w:p>
    <w:p w14:paraId="124297F6">
      <w:pPr>
        <w:ind w:firstLine="640"/>
      </w:pPr>
      <w:r>
        <w:rPr>
          <w:rFonts w:hint="eastAsia" w:eastAsia="楷体" w:cs="楷体"/>
          <w:bCs/>
          <w:szCs w:val="32"/>
        </w:rPr>
        <w:t>以“生态走廊”建设为引领。</w:t>
      </w:r>
      <w:r>
        <w:rPr>
          <w:rFonts w:hint="eastAsia" w:cs="仿宋_GB2312"/>
          <w:szCs w:val="32"/>
        </w:rPr>
        <w:t>服务“环首都绿色生态屏障带”建设，</w:t>
      </w:r>
      <w:r>
        <w:rPr>
          <w:rFonts w:hint="eastAsia"/>
          <w:szCs w:val="32"/>
        </w:rPr>
        <w:t>落实与通州、唐山等毗邻地区的环境污染联防联控联治和防汛联动机制，强化大气污染应急联动。</w:t>
      </w:r>
      <w:r>
        <w:rPr>
          <w:rFonts w:hint="eastAsia"/>
        </w:rPr>
        <w:t>推动区域信息共享、联合执法，对突发环境事件联合应对、联合处置，共同应对和处理跨界突发环境事件及污染纠纷，持续实施区域重污染天气响应期间的联动巡查。开展联合水质监测，共防跨界河流水灾害、水污染等风险，常态化开展潮白河等重点流域水环境协同治理，沿潮白河打造至北京副中心生态廊道。</w:t>
      </w:r>
    </w:p>
    <w:p w14:paraId="0FBE1E54">
      <w:pPr>
        <w:ind w:firstLine="640"/>
        <w:rPr>
          <w:b/>
          <w:bCs/>
        </w:rPr>
      </w:pPr>
      <w:r>
        <w:rPr>
          <w:rFonts w:hint="eastAsia" w:eastAsia="楷体" w:cs="楷体"/>
          <w:bCs/>
          <w:szCs w:val="32"/>
        </w:rPr>
        <w:t>以“文化走廊”建设为特色。</w:t>
      </w:r>
      <w:r>
        <w:rPr>
          <w:rFonts w:hint="eastAsia" w:cs="仿宋_GB2312"/>
          <w:szCs w:val="32"/>
        </w:rPr>
        <w:t>促进文旅产业融合</w:t>
      </w:r>
      <w:r>
        <w:rPr>
          <w:rFonts w:hint="eastAsia"/>
          <w:bCs/>
        </w:rPr>
        <w:t>，</w:t>
      </w:r>
      <w:r>
        <w:rPr>
          <w:rFonts w:hint="eastAsia"/>
        </w:rPr>
        <w:t>围绕潮白河“一河两岸”串点成线，以潮白河、生态村庄等本底资源为依托，联动培育一批契合京津冀城市消费特点的精品旅游线路，建成水景相融的京东自驾风景道。与潮白河上下游地区联合开发旅游项目和体育赛事，举办区域文旅体育赛事交流活动，</w:t>
      </w:r>
      <w:r>
        <w:rPr>
          <w:rFonts w:hint="eastAsia"/>
          <w:szCs w:val="32"/>
        </w:rPr>
        <w:t>推动京津冀旅游互为资源、互为市场。</w:t>
      </w:r>
    </w:p>
    <w:p w14:paraId="2FDC313F">
      <w:pPr>
        <w:pStyle w:val="4"/>
        <w:spacing w:before="217" w:after="217"/>
        <w:rPr>
          <w:rFonts w:ascii="宋体" w:hAnsi="宋体"/>
        </w:rPr>
      </w:pPr>
      <w:bookmarkStart w:id="44" w:name="_Toc219068709"/>
      <w:bookmarkStart w:id="45" w:name="_Toc212560060"/>
      <w:r>
        <w:rPr>
          <w:rFonts w:hint="eastAsia" w:ascii="宋体" w:hAnsi="宋体"/>
        </w:rPr>
        <w:t>第四节 构建京津冀地区互联互通的综合交通枢纽</w:t>
      </w:r>
      <w:bookmarkEnd w:id="44"/>
      <w:bookmarkEnd w:id="45"/>
    </w:p>
    <w:p w14:paraId="26C7898A">
      <w:pPr>
        <w:ind w:firstLine="640"/>
      </w:pPr>
      <w:r>
        <w:rPr>
          <w:rFonts w:hint="eastAsia"/>
        </w:rPr>
        <w:t>深入融入“轨道上的京津冀”建设，</w:t>
      </w:r>
      <w:r>
        <w:rPr>
          <w:rFonts w:hint="eastAsia" w:cs="仿宋_GB2312"/>
          <w:szCs w:val="32"/>
        </w:rPr>
        <w:t>加强基础设施“硬联通”和资源要素“软联通”，建立符合宝坻特色的智能与交通相融合、铁路与公路相衔接、陆运与空运相结合的立体交通体系。</w:t>
      </w:r>
    </w:p>
    <w:p w14:paraId="4AA96F37">
      <w:pPr>
        <w:ind w:firstLine="640"/>
      </w:pPr>
      <w:r>
        <w:rPr>
          <w:rFonts w:hint="eastAsia" w:eastAsia="楷体" w:cs="楷体"/>
          <w:bCs/>
          <w:szCs w:val="32"/>
        </w:rPr>
        <w:t>加强城际交通网络建设。</w:t>
      </w:r>
      <w:r>
        <w:rPr>
          <w:rFonts w:hint="eastAsia"/>
        </w:rPr>
        <w:t>立足京津冀交通一体化，</w:t>
      </w:r>
      <w:r>
        <w:rPr>
          <w:rFonts w:hint="eastAsia" w:cs="仿宋_GB2312"/>
          <w:szCs w:val="32"/>
        </w:rPr>
        <w:t>构建对外放射、多向联通、方式综合的区域综合交通体系，形成“内畅外联”的交通网络格局。</w:t>
      </w:r>
      <w:r>
        <w:rPr>
          <w:rFonts w:hint="eastAsia"/>
        </w:rPr>
        <w:t>配合津承城际铁路规划建设，</w:t>
      </w:r>
      <w:r>
        <w:rPr>
          <w:rFonts w:hint="eastAsia"/>
          <w:szCs w:val="32"/>
        </w:rPr>
        <w:t>服务连接京沪高铁二线</w:t>
      </w:r>
      <w:r>
        <w:rPr>
          <w:rFonts w:hint="eastAsia"/>
        </w:rPr>
        <w:t>，推动京唐、京滨高铁高效运行，完善“一城”四站轨道格局，打造京畿区域北上南下、东出西进的重要交通枢纽。</w:t>
      </w:r>
      <w:r>
        <w:rPr>
          <w:rFonts w:hint="eastAsia"/>
          <w:szCs w:val="32"/>
        </w:rPr>
        <w:t>推动重点交通工程建设，服务G95首都地区环线高速、京哈高速改扩建、津蓟高速公路拓宽等工程建设。</w:t>
      </w:r>
      <w:r>
        <w:t>完善普通干线公路布局，实现宝坻新城、京津新城与周边市、县的直连直通，</w:t>
      </w:r>
      <w:r>
        <w:rPr>
          <w:rFonts w:hint="eastAsia"/>
        </w:rPr>
        <w:t>谋划对接玉香公路工程，推动宝武公路改建工程，开展通宁公路等工程建设。对标通州与北三县间公路等级标准，规划统一路网，打通“断头路”、扩容“瓶颈路”，完善区内交通路网结构，提升通行便捷度。</w:t>
      </w:r>
    </w:p>
    <w:p w14:paraId="7219E61E">
      <w:pPr>
        <w:ind w:firstLine="640"/>
      </w:pPr>
      <w:r>
        <w:rPr>
          <w:rFonts w:hint="eastAsia" w:eastAsia="楷体" w:cs="楷体"/>
          <w:bCs/>
          <w:szCs w:val="32"/>
        </w:rPr>
        <w:t>构建多元出行方式。</w:t>
      </w:r>
      <w:r>
        <w:rPr>
          <w:rFonts w:hint="eastAsia" w:cs="仿宋_GB2312"/>
          <w:szCs w:val="32"/>
        </w:rPr>
        <w:t>推进智慧交通建设，</w:t>
      </w:r>
      <w:r>
        <w:rPr>
          <w:rFonts w:hint="eastAsia"/>
          <w:szCs w:val="32"/>
        </w:rPr>
        <w:t>实施京哈高速宝坻—北京段自动驾驶试验项目。</w:t>
      </w:r>
      <w:r>
        <w:rPr>
          <w:rFonts w:hint="eastAsia" w:cs="仿宋_GB2312"/>
          <w:szCs w:val="32"/>
        </w:rPr>
        <w:t>优化北京至宝坻定制快巴运营，持续优化调整“宝坻—香河”“宝</w:t>
      </w:r>
      <w:r>
        <w:rPr>
          <w:rFonts w:cs="仿宋_GB2312"/>
          <w:szCs w:val="32"/>
        </w:rPr>
        <w:t>1路”等省际公交线路，实现与两地公交线路的无缝对接，方便群众跨省市通勤。开通宝坻站到</w:t>
      </w:r>
      <w:r>
        <w:rPr>
          <w:rFonts w:hint="eastAsia" w:cs="仿宋_GB2312"/>
          <w:szCs w:val="32"/>
        </w:rPr>
        <w:t>京津</w:t>
      </w:r>
      <w:r>
        <w:rPr>
          <w:rFonts w:cs="仿宋_GB2312"/>
          <w:szCs w:val="32"/>
        </w:rPr>
        <w:t>中关村科技城的定制快速公交</w:t>
      </w:r>
      <w:r>
        <w:rPr>
          <w:rFonts w:hint="eastAsia" w:cs="仿宋_GB2312"/>
          <w:szCs w:val="32"/>
        </w:rPr>
        <w:t>，提升站点与城市交通的衔接能力。</w:t>
      </w:r>
    </w:p>
    <w:p w14:paraId="0BDA0536">
      <w:pPr>
        <w:ind w:firstLine="640"/>
      </w:pPr>
      <w:r>
        <w:rPr>
          <w:rFonts w:hint="eastAsia" w:eastAsia="楷体" w:cs="楷体"/>
          <w:bCs/>
          <w:szCs w:val="32"/>
        </w:rPr>
        <w:t>构建“站产城”融合发展格局。</w:t>
      </w:r>
      <w:r>
        <w:rPr>
          <w:rFonts w:hint="eastAsia"/>
        </w:rPr>
        <w:t>以高铁宝坻站和高铁新区为依托，建立区级层面高铁宝坻站站前区综合开发协调机制，推动高铁新城规划建设，</w:t>
      </w:r>
      <w:r>
        <w:t>突出站点特征和功能定位</w:t>
      </w:r>
      <w:r>
        <w:rPr>
          <w:rFonts w:hint="eastAsia"/>
        </w:rPr>
        <w:t>，重点引入高端商务、优质生活等现代服务业，打造科技商务会客厅。探索“高铁+特色主题园区”产业发展模式，促进过境高铁沿线产业园区协同发展，推动“轨道协同”向“产业协同”升维升级。结合智能网联产业基础，加快京津中关村科技城和高铁宝坻站站前区要素联动。</w:t>
      </w:r>
    </w:p>
    <w:p w14:paraId="40F5F22D">
      <w:pPr>
        <w:ind w:firstLine="640"/>
        <w:rPr>
          <w:rFonts w:cs="仿宋_GB2312"/>
          <w:szCs w:val="32"/>
        </w:rPr>
      </w:pPr>
      <w:r>
        <w:rPr>
          <w:rFonts w:cs="仿宋_GB2312"/>
          <w:szCs w:val="32"/>
        </w:rPr>
        <w:br w:type="page"/>
      </w:r>
    </w:p>
    <w:p w14:paraId="718FA37C">
      <w:pPr>
        <w:pStyle w:val="3"/>
        <w:spacing w:before="435" w:after="435"/>
        <w:rPr>
          <w:rFonts w:ascii="宋体" w:hAnsi="宋体"/>
        </w:rPr>
      </w:pPr>
      <w:bookmarkStart w:id="46" w:name="_Toc212560061"/>
      <w:bookmarkStart w:id="47" w:name="_Toc219068710"/>
      <w:bookmarkStart w:id="48" w:name="_Hlk206939475"/>
      <w:r>
        <w:rPr>
          <w:rFonts w:hint="eastAsia" w:ascii="宋体" w:hAnsi="宋体"/>
        </w:rPr>
        <w:t xml:space="preserve">第四章 </w:t>
      </w:r>
      <w:r>
        <w:rPr>
          <w:rFonts w:ascii="宋体" w:hAnsi="宋体"/>
        </w:rPr>
        <w:t xml:space="preserve"> </w:t>
      </w:r>
      <w:r>
        <w:rPr>
          <w:rFonts w:hint="eastAsia" w:ascii="宋体" w:hAnsi="宋体"/>
        </w:rPr>
        <w:t>全面深化改革，持续激发经济发展活力</w:t>
      </w:r>
      <w:bookmarkEnd w:id="46"/>
      <w:bookmarkEnd w:id="47"/>
    </w:p>
    <w:bookmarkEnd w:id="48"/>
    <w:p w14:paraId="57A9DF7B">
      <w:pPr>
        <w:ind w:firstLine="640"/>
      </w:pPr>
      <w:r>
        <w:rPr>
          <w:rFonts w:hint="eastAsia"/>
        </w:rPr>
        <w:t>坚持解放思想、创新观念，进一步全面深化改革，加大经济体制改革力度，提升财税金融、科技教育人才、城乡融合、民生保障制度等改革效能，深入实施“营商环境提优”引领工程，</w:t>
      </w:r>
      <w:r>
        <w:t>打造</w:t>
      </w:r>
      <w:r>
        <w:rPr>
          <w:rFonts w:hint="eastAsia"/>
        </w:rPr>
        <w:t>市场化、法治化、国际化一流营商环境</w:t>
      </w:r>
      <w:r>
        <w:t>，</w:t>
      </w:r>
      <w:bookmarkStart w:id="49" w:name="OLE_LINK6"/>
      <w:r>
        <w:rPr>
          <w:rFonts w:hint="eastAsia"/>
        </w:rPr>
        <w:t>充分激发各类经营主体活力</w:t>
      </w:r>
      <w:bookmarkEnd w:id="49"/>
      <w:r>
        <w:rPr>
          <w:rFonts w:hint="eastAsia"/>
        </w:rPr>
        <w:t>，为经济高质量发展注入强劲动力。</w:t>
      </w:r>
    </w:p>
    <w:p w14:paraId="3D07A584">
      <w:pPr>
        <w:pStyle w:val="4"/>
        <w:spacing w:before="217" w:after="217"/>
        <w:rPr>
          <w:rFonts w:ascii="宋体" w:hAnsi="宋体"/>
        </w:rPr>
      </w:pPr>
      <w:bookmarkStart w:id="50" w:name="_Toc219068711"/>
      <w:bookmarkStart w:id="51" w:name="_Toc212560062"/>
      <w:r>
        <w:rPr>
          <w:rFonts w:hint="eastAsia" w:ascii="宋体" w:hAnsi="宋体"/>
        </w:rPr>
        <w:t>第一节 持续深化经济体制改革力度</w:t>
      </w:r>
      <w:bookmarkEnd w:id="50"/>
      <w:bookmarkEnd w:id="51"/>
    </w:p>
    <w:p w14:paraId="16CBB7BF">
      <w:pPr>
        <w:ind w:firstLine="640"/>
      </w:pPr>
      <w:bookmarkStart w:id="52" w:name="OLE_LINK2"/>
      <w:r>
        <w:rPr>
          <w:rFonts w:hint="eastAsia"/>
        </w:rPr>
        <w:t>以经济体制改革为牵引，全面部署各领域改革，</w:t>
      </w:r>
      <w:r>
        <w:rPr>
          <w:rFonts w:cs="Times New Roman"/>
          <w:szCs w:val="32"/>
        </w:rPr>
        <w:t>坚持和落实</w:t>
      </w:r>
      <w:r>
        <w:rPr>
          <w:rFonts w:hint="eastAsia" w:cs="Times New Roman"/>
          <w:szCs w:val="32"/>
        </w:rPr>
        <w:t>“</w:t>
      </w:r>
      <w:r>
        <w:rPr>
          <w:rFonts w:cs="Times New Roman"/>
          <w:szCs w:val="32"/>
        </w:rPr>
        <w:t>两个毫不动摇</w:t>
      </w:r>
      <w:r>
        <w:rPr>
          <w:rFonts w:hint="eastAsia" w:cs="Times New Roman"/>
          <w:szCs w:val="32"/>
        </w:rPr>
        <w:t>”</w:t>
      </w:r>
      <w:r>
        <w:rPr>
          <w:rFonts w:cs="Times New Roman"/>
          <w:szCs w:val="32"/>
        </w:rPr>
        <w:t>，</w:t>
      </w:r>
      <w:r>
        <w:rPr>
          <w:rFonts w:hint="eastAsia"/>
        </w:rPr>
        <w:t>促进各种所有制经济优势互补、共同发展，激发各类市场主体活力，牵引带动经济全面发展。</w:t>
      </w:r>
    </w:p>
    <w:p w14:paraId="15AD17F6">
      <w:pPr>
        <w:ind w:firstLine="640"/>
        <w:rPr>
          <w:rFonts w:cs="Times New Roman"/>
          <w:szCs w:val="32"/>
        </w:rPr>
      </w:pPr>
      <w:bookmarkStart w:id="53" w:name="OLE_LINK8"/>
      <w:bookmarkStart w:id="54" w:name="OLE_LINK10"/>
      <w:r>
        <w:rPr>
          <w:rFonts w:hint="eastAsia" w:eastAsia="楷体" w:cs="楷体"/>
          <w:bCs/>
          <w:szCs w:val="32"/>
        </w:rPr>
        <w:t>健全改革工作体制机制。</w:t>
      </w:r>
      <w:bookmarkStart w:id="55" w:name="OLE_LINK30"/>
      <w:r>
        <w:rPr>
          <w:rFonts w:cs="Times New Roman"/>
          <w:szCs w:val="32"/>
        </w:rPr>
        <w:t>坚持以经济体制改革为牵引，</w:t>
      </w:r>
      <w:r>
        <w:rPr>
          <w:rFonts w:hint="eastAsia" w:cs="Times New Roman"/>
          <w:szCs w:val="32"/>
        </w:rPr>
        <w:t>全面</w:t>
      </w:r>
      <w:r>
        <w:rPr>
          <w:rFonts w:cs="Times New Roman"/>
          <w:szCs w:val="32"/>
        </w:rPr>
        <w:t>完成</w:t>
      </w:r>
      <w:r>
        <w:rPr>
          <w:rFonts w:hint="eastAsia" w:cs="Times New Roman"/>
          <w:szCs w:val="32"/>
        </w:rPr>
        <w:t>中共宝坻</w:t>
      </w:r>
      <w:r>
        <w:rPr>
          <w:rFonts w:cs="Times New Roman"/>
          <w:szCs w:val="32"/>
        </w:rPr>
        <w:t>区委六届十次全会确定的</w:t>
      </w:r>
      <w:r>
        <w:rPr>
          <w:rFonts w:hint="eastAsia" w:eastAsia="宋体" w:cs="宋体"/>
          <w:szCs w:val="32"/>
        </w:rPr>
        <w:t>239</w:t>
      </w:r>
      <w:r>
        <w:rPr>
          <w:rFonts w:hint="eastAsia" w:cs="Times New Roman"/>
          <w:szCs w:val="32"/>
        </w:rPr>
        <w:t>项重点改革事项。</w:t>
      </w:r>
      <w:r>
        <w:rPr>
          <w:rFonts w:cs="Times New Roman"/>
          <w:szCs w:val="32"/>
        </w:rPr>
        <w:t>深化</w:t>
      </w:r>
      <w:r>
        <w:rPr>
          <w:rFonts w:hint="eastAsia" w:eastAsia="宋体" w:cs="宋体"/>
          <w:szCs w:val="32"/>
        </w:rPr>
        <w:t>10</w:t>
      </w:r>
      <w:r>
        <w:rPr>
          <w:rFonts w:cs="Times New Roman"/>
          <w:szCs w:val="32"/>
        </w:rPr>
        <w:t>个重点工作专项推动组机制，用好经济运行</w:t>
      </w:r>
      <w:r>
        <w:rPr>
          <w:rFonts w:hint="eastAsia" w:cs="Times New Roman"/>
          <w:szCs w:val="32"/>
        </w:rPr>
        <w:t>分析研判</w:t>
      </w:r>
      <w:r>
        <w:rPr>
          <w:rFonts w:cs="Times New Roman"/>
          <w:szCs w:val="32"/>
        </w:rPr>
        <w:t>机制。</w:t>
      </w:r>
      <w:bookmarkEnd w:id="53"/>
      <w:bookmarkEnd w:id="55"/>
      <w:bookmarkStart w:id="56" w:name="OLE_LINK7"/>
      <w:r>
        <w:rPr>
          <w:rFonts w:cs="Times New Roman"/>
          <w:szCs w:val="32"/>
        </w:rPr>
        <w:t>在</w:t>
      </w:r>
      <w:r>
        <w:rPr>
          <w:rFonts w:hint="eastAsia" w:cs="Times New Roman"/>
          <w:szCs w:val="32"/>
        </w:rPr>
        <w:t>关系经济发展的</w:t>
      </w:r>
      <w:r>
        <w:rPr>
          <w:rFonts w:cs="Times New Roman"/>
          <w:szCs w:val="32"/>
        </w:rPr>
        <w:t>关键领域勇于探索、先行先试</w:t>
      </w:r>
      <w:r>
        <w:rPr>
          <w:rFonts w:hint="eastAsia" w:cs="Times New Roman"/>
          <w:szCs w:val="32"/>
        </w:rPr>
        <w:t>，</w:t>
      </w:r>
      <w:r>
        <w:rPr>
          <w:rFonts w:cs="Times New Roman"/>
          <w:szCs w:val="32"/>
        </w:rPr>
        <w:t>激发全社会内生动力和创新活力</w:t>
      </w:r>
      <w:r>
        <w:rPr>
          <w:rFonts w:hint="eastAsia" w:cs="Times New Roman"/>
          <w:szCs w:val="32"/>
        </w:rPr>
        <w:t>，做到既“放得活”又“管得住”</w:t>
      </w:r>
      <w:r>
        <w:rPr>
          <w:rFonts w:cs="Times New Roman"/>
          <w:szCs w:val="32"/>
        </w:rPr>
        <w:t>。</w:t>
      </w:r>
      <w:bookmarkEnd w:id="56"/>
      <w:r>
        <w:rPr>
          <w:rFonts w:hint="eastAsia" w:cs="Times New Roman"/>
          <w:szCs w:val="32"/>
        </w:rPr>
        <w:t>强化政策协同落实和预期管理。针对跨领域、跨层级复杂问题，着力构建权责清晰、运行顺畅、协同高效的跨部门工作协调机制。</w:t>
      </w:r>
      <w:bookmarkEnd w:id="54"/>
    </w:p>
    <w:p w14:paraId="4732F6FF">
      <w:pPr>
        <w:ind w:firstLine="640"/>
        <w:rPr>
          <w:rFonts w:cs="Times New Roman"/>
          <w:szCs w:val="32"/>
        </w:rPr>
      </w:pPr>
      <w:bookmarkStart w:id="57" w:name="OLE_LINK4"/>
      <w:r>
        <w:rPr>
          <w:rFonts w:hint="eastAsia" w:eastAsia="楷体" w:cs="楷体"/>
          <w:bCs/>
          <w:szCs w:val="32"/>
        </w:rPr>
        <w:t>加大国有企业改革力度。</w:t>
      </w:r>
      <w:bookmarkEnd w:id="57"/>
      <w:bookmarkStart w:id="58" w:name="OLE_LINK31"/>
      <w:bookmarkStart w:id="59" w:name="OLE_LINK11"/>
      <w:r>
        <w:rPr>
          <w:rFonts w:cs="Times New Roman"/>
          <w:bCs/>
          <w:szCs w:val="32"/>
        </w:rPr>
        <w:t>完善中国特色现代企业制度</w:t>
      </w:r>
      <w:bookmarkEnd w:id="58"/>
      <w:r>
        <w:rPr>
          <w:rFonts w:hint="eastAsia" w:cs="Times New Roman"/>
          <w:bCs/>
          <w:szCs w:val="32"/>
        </w:rPr>
        <w:t>，</w:t>
      </w:r>
      <w:r>
        <w:rPr>
          <w:rFonts w:cs="Times New Roman"/>
          <w:szCs w:val="32"/>
        </w:rPr>
        <w:t>优化公司治理机制，推动区属国有企业聚焦主责主业，增强核心功能</w:t>
      </w:r>
      <w:r>
        <w:rPr>
          <w:rFonts w:hint="eastAsia" w:cs="Times New Roman"/>
          <w:szCs w:val="32"/>
        </w:rPr>
        <w:t>，提升核心竞争力</w:t>
      </w:r>
      <w:r>
        <w:rPr>
          <w:rFonts w:cs="Times New Roman"/>
          <w:szCs w:val="32"/>
        </w:rPr>
        <w:t>。深化国资国企改革，推进国企布局优化和结构调整，完善以管资本为主的国有资产监管体制，</w:t>
      </w:r>
      <w:r>
        <w:rPr>
          <w:rFonts w:hint="eastAsia" w:cs="Times New Roman"/>
          <w:szCs w:val="32"/>
        </w:rPr>
        <w:t>有效防范国有企业债务风险问题。</w:t>
      </w:r>
      <w:r>
        <w:rPr>
          <w:rFonts w:cs="Times New Roman"/>
          <w:szCs w:val="32"/>
        </w:rPr>
        <w:t>大力出清低效无效企业</w:t>
      </w:r>
      <w:r>
        <w:rPr>
          <w:rFonts w:hint="eastAsia" w:cs="Times New Roman"/>
          <w:szCs w:val="32"/>
        </w:rPr>
        <w:t>，通过战略性重组和专业化整合，减少同质化竞争，</w:t>
      </w:r>
      <w:r>
        <w:rPr>
          <w:rFonts w:cs="Times New Roman"/>
          <w:szCs w:val="32"/>
        </w:rPr>
        <w:t>进一步清晰子企业架构，提高资本运作效率和回报水平。</w:t>
      </w:r>
      <w:bookmarkEnd w:id="59"/>
    </w:p>
    <w:p w14:paraId="79FCDA2C">
      <w:pPr>
        <w:ind w:firstLine="640"/>
        <w:rPr>
          <w:rFonts w:cs="Times New Roman"/>
          <w:szCs w:val="32"/>
        </w:rPr>
      </w:pPr>
      <w:r>
        <w:rPr>
          <w:rFonts w:hint="eastAsia" w:eastAsia="楷体" w:cs="楷体"/>
          <w:bCs/>
          <w:szCs w:val="32"/>
        </w:rPr>
        <w:t>推进民营经济改革。</w:t>
      </w:r>
      <w:bookmarkStart w:id="60" w:name="OLE_LINK13"/>
      <w:bookmarkStart w:id="61" w:name="OLE_LINK12"/>
      <w:r>
        <w:rPr>
          <w:rFonts w:hint="eastAsia" w:cs="Times New Roman"/>
          <w:bCs/>
          <w:szCs w:val="32"/>
        </w:rPr>
        <w:t>鼓励民营经济发展，</w:t>
      </w:r>
      <w:r>
        <w:rPr>
          <w:rFonts w:hint="eastAsia" w:cs="Times New Roman"/>
          <w:szCs w:val="32"/>
        </w:rPr>
        <w:t>在市场准入、融资信贷、招投标等方面消除隐性壁垒，鼓励民营经济参与重点领域项目建设，</w:t>
      </w:r>
      <w:r>
        <w:rPr>
          <w:rFonts w:cs="Times New Roman"/>
          <w:szCs w:val="32"/>
        </w:rPr>
        <w:t>鼓励、支持、引导非公有制经济发展</w:t>
      </w:r>
      <w:r>
        <w:rPr>
          <w:rFonts w:hint="eastAsia" w:cs="Times New Roman"/>
          <w:szCs w:val="32"/>
        </w:rPr>
        <w:t>。</w:t>
      </w:r>
      <w:bookmarkEnd w:id="60"/>
      <w:r>
        <w:rPr>
          <w:rFonts w:hint="eastAsia" w:cs="Times New Roman"/>
          <w:bCs/>
          <w:szCs w:val="32"/>
        </w:rPr>
        <w:t>加强民营企业权益保护，</w:t>
      </w:r>
      <w:r>
        <w:rPr>
          <w:rFonts w:cs="Times New Roman"/>
          <w:szCs w:val="32"/>
        </w:rPr>
        <w:t>依法保护民营企业产权和企业家合法权益</w:t>
      </w:r>
      <w:r>
        <w:rPr>
          <w:rFonts w:hint="eastAsia" w:cs="Times New Roman"/>
          <w:szCs w:val="32"/>
        </w:rPr>
        <w:t>，</w:t>
      </w:r>
      <w:r>
        <w:rPr>
          <w:rFonts w:cs="Times New Roman"/>
          <w:szCs w:val="32"/>
        </w:rPr>
        <w:t>与民营企业常态化</w:t>
      </w:r>
      <w:r>
        <w:rPr>
          <w:rFonts w:hint="eastAsia" w:cs="Times New Roman"/>
          <w:szCs w:val="32"/>
        </w:rPr>
        <w:t>开展</w:t>
      </w:r>
      <w:r>
        <w:rPr>
          <w:rFonts w:cs="Times New Roman"/>
          <w:szCs w:val="32"/>
        </w:rPr>
        <w:t>沟通交流</w:t>
      </w:r>
      <w:r>
        <w:rPr>
          <w:rFonts w:hint="eastAsia" w:cs="Times New Roman"/>
          <w:szCs w:val="32"/>
        </w:rPr>
        <w:t>，探索</w:t>
      </w:r>
      <w:r>
        <w:rPr>
          <w:rFonts w:cs="Times New Roman"/>
          <w:szCs w:val="32"/>
        </w:rPr>
        <w:t>民营企业参与重大项目建设的长效机制，激活民营经济蓬勃发展活力</w:t>
      </w:r>
      <w:r>
        <w:rPr>
          <w:rFonts w:hint="eastAsia" w:cs="Times New Roman"/>
          <w:szCs w:val="32"/>
        </w:rPr>
        <w:t>。落实</w:t>
      </w:r>
      <w:r>
        <w:rPr>
          <w:rFonts w:cs="Times New Roman"/>
          <w:szCs w:val="32"/>
        </w:rPr>
        <w:t>支持民营中小微企业发展的政策</w:t>
      </w:r>
      <w:r>
        <w:rPr>
          <w:rFonts w:hint="eastAsia" w:cs="Times New Roman"/>
          <w:szCs w:val="32"/>
        </w:rPr>
        <w:t>措施</w:t>
      </w:r>
      <w:r>
        <w:rPr>
          <w:rFonts w:cs="Times New Roman"/>
          <w:szCs w:val="32"/>
        </w:rPr>
        <w:t>，着力解决融资难、融资贵等问题</w:t>
      </w:r>
      <w:r>
        <w:rPr>
          <w:rFonts w:hint="eastAsia" w:cs="Times New Roman"/>
          <w:szCs w:val="32"/>
        </w:rPr>
        <w:t>，推动大中小微企业协同融通发展</w:t>
      </w:r>
      <w:r>
        <w:rPr>
          <w:rFonts w:cs="Times New Roman"/>
          <w:szCs w:val="32"/>
        </w:rPr>
        <w:t>。</w:t>
      </w:r>
      <w:bookmarkEnd w:id="61"/>
    </w:p>
    <w:p w14:paraId="62F92989">
      <w:pPr>
        <w:pStyle w:val="4"/>
        <w:spacing w:before="217" w:after="217"/>
        <w:rPr>
          <w:rFonts w:ascii="宋体" w:hAnsi="宋体"/>
        </w:rPr>
      </w:pPr>
      <w:bookmarkStart w:id="62" w:name="_Toc212560063"/>
      <w:bookmarkStart w:id="63" w:name="_Toc219068712"/>
      <w:r>
        <w:rPr>
          <w:rFonts w:hint="eastAsia" w:ascii="宋体" w:hAnsi="宋体"/>
        </w:rPr>
        <w:t>第二节 大力提升重点领域改革能效</w:t>
      </w:r>
      <w:bookmarkEnd w:id="62"/>
      <w:bookmarkEnd w:id="63"/>
    </w:p>
    <w:bookmarkEnd w:id="52"/>
    <w:p w14:paraId="0402497F">
      <w:pPr>
        <w:ind w:firstLine="640"/>
      </w:pPr>
      <w:r>
        <w:rPr>
          <w:rFonts w:hint="eastAsia"/>
        </w:rPr>
        <w:t>聚焦制约高质量发展的突出短板，在关键领域推出更多战略性、创造性、引领性改革举措，推动改革与发展深度融合、高效联动，将制度优势转化为治理效能和发展动能。</w:t>
      </w:r>
    </w:p>
    <w:p w14:paraId="49DA15B2">
      <w:pPr>
        <w:ind w:firstLine="640"/>
        <w:rPr>
          <w:b/>
        </w:rPr>
      </w:pPr>
      <w:bookmarkStart w:id="64" w:name="OLE_LINK5"/>
      <w:r>
        <w:rPr>
          <w:rFonts w:hint="eastAsia" w:eastAsia="楷体" w:cs="楷体"/>
          <w:bCs/>
          <w:szCs w:val="32"/>
        </w:rPr>
        <w:t>深化财税金融体制改革。</w:t>
      </w:r>
      <w:bookmarkEnd w:id="64"/>
      <w:bookmarkStart w:id="65" w:name="OLE_LINK19"/>
      <w:r>
        <w:rPr>
          <w:rFonts w:hint="eastAsia"/>
          <w:b/>
        </w:rPr>
        <w:t>推进预算制度改革，</w:t>
      </w:r>
      <w:r>
        <w:rPr>
          <w:rFonts w:hint="eastAsia"/>
          <w:bCs/>
        </w:rPr>
        <w:t>深化零基预算改革，统一预算分配权，优化财政支出结构，强化财政可承受能力评估刚性约束，出台增加财政支出的重大政策、实施重大政府投资项目前开展财政承受能力评估。</w:t>
      </w:r>
      <w:bookmarkStart w:id="66" w:name="OLE_LINK33"/>
      <w:r>
        <w:rPr>
          <w:rFonts w:hint="eastAsia"/>
          <w:bCs/>
        </w:rPr>
        <w:t>加强预算绩效管理，完善预算公开和监督制度。</w:t>
      </w:r>
      <w:r>
        <w:rPr>
          <w:rFonts w:hint="eastAsia"/>
          <w:b/>
          <w:bCs/>
        </w:rPr>
        <w:t>健全现代化税收征管体系</w:t>
      </w:r>
      <w:bookmarkEnd w:id="66"/>
      <w:bookmarkStart w:id="67" w:name="OLE_LINK34"/>
      <w:r>
        <w:rPr>
          <w:rFonts w:hint="eastAsia"/>
          <w:b/>
          <w:bCs/>
        </w:rPr>
        <w:t>，</w:t>
      </w:r>
      <w:r>
        <w:rPr>
          <w:rFonts w:hint="eastAsia"/>
        </w:rPr>
        <w:t>优化税源培育拓展机制，建立分层分类的税源辅导体系。完善精准监管机制</w:t>
      </w:r>
      <w:bookmarkEnd w:id="67"/>
      <w:r>
        <w:rPr>
          <w:rFonts w:hint="eastAsia"/>
        </w:rPr>
        <w:t>，健全税务、财政等多部门协同治税机制，实现信息共享与联动共管。</w:t>
      </w:r>
      <w:r>
        <w:t>全面推进税收征管数字化升级和智能化改造</w:t>
      </w:r>
      <w:r>
        <w:rPr>
          <w:rFonts w:hint="eastAsia"/>
        </w:rPr>
        <w:t>，提升征管效能和服务水平</w:t>
      </w:r>
      <w:r>
        <w:t>。</w:t>
      </w:r>
      <w:r>
        <w:rPr>
          <w:b/>
          <w:bCs/>
        </w:rPr>
        <w:t>创新投融资体制机制</w:t>
      </w:r>
      <w:r>
        <w:rPr>
          <w:rFonts w:hint="eastAsia"/>
          <w:b/>
          <w:bCs/>
        </w:rPr>
        <w:t>，</w:t>
      </w:r>
      <w:r>
        <w:rPr>
          <w:rFonts w:hint="eastAsia"/>
        </w:rPr>
        <w:t>发展科技金融、绿色金融、数字金融，</w:t>
      </w:r>
      <w:r>
        <w:t>积极搭建“政企银担”对接平台，推动更多金融资源用于</w:t>
      </w:r>
      <w:r>
        <w:rPr>
          <w:rFonts w:hint="eastAsia"/>
        </w:rPr>
        <w:t>企业发展。</w:t>
      </w:r>
      <w:bookmarkEnd w:id="65"/>
      <w:bookmarkStart w:id="68" w:name="OLE_LINK32"/>
    </w:p>
    <w:bookmarkEnd w:id="68"/>
    <w:p w14:paraId="1D8B015E">
      <w:pPr>
        <w:ind w:firstLine="640"/>
      </w:pPr>
      <w:bookmarkStart w:id="69" w:name="OLE_LINK14"/>
      <w:r>
        <w:rPr>
          <w:rFonts w:hint="eastAsia" w:eastAsia="楷体" w:cs="楷体"/>
          <w:bCs/>
          <w:szCs w:val="32"/>
        </w:rPr>
        <w:t>深化教育科技人才综合改革。</w:t>
      </w:r>
      <w:bookmarkEnd w:id="69"/>
      <w:r>
        <w:rPr>
          <w:rFonts w:hint="eastAsia"/>
        </w:rPr>
        <w:t>强化教育科技人才一体化发展机制，</w:t>
      </w:r>
      <w:r>
        <w:t>打通创新链、产业链、资金链、人才链的堵点卡点，构建以企业为主体、市场为导向、产学研用深度融合的技术创新体系。</w:t>
      </w:r>
      <w:bookmarkStart w:id="70" w:name="OLE_LINK35"/>
      <w:r>
        <w:rPr>
          <w:rFonts w:hint="eastAsia"/>
          <w:b/>
          <w:bCs/>
        </w:rPr>
        <w:t>加强教育改革，</w:t>
      </w:r>
      <w:r>
        <w:rPr>
          <w:rFonts w:hint="eastAsia"/>
        </w:rPr>
        <w:t>推动高等教育、职业教育结构与区域产业布局精准对接，</w:t>
      </w:r>
      <w:bookmarkEnd w:id="70"/>
      <w:r>
        <w:rPr>
          <w:rFonts w:hint="eastAsia"/>
        </w:rPr>
        <w:t>深化产教融合、校企合作，构建与宝坻产业结构和经济发展相适应的人才培养体系。</w:t>
      </w:r>
      <w:r>
        <w:rPr>
          <w:rFonts w:hint="eastAsia"/>
          <w:b/>
          <w:bCs/>
        </w:rPr>
        <w:t>深入科技改革，</w:t>
      </w:r>
      <w:r>
        <w:rPr>
          <w:rFonts w:hint="eastAsia"/>
        </w:rPr>
        <w:t>强化科技创新体系与体制机制改革，</w:t>
      </w:r>
      <w:r>
        <w:t>围绕区域主导产业和未来产业方向，优化科技资源配置机制</w:t>
      </w:r>
      <w:r>
        <w:rPr>
          <w:rFonts w:hint="eastAsia"/>
        </w:rPr>
        <w:t>，着力构建重大科技创新组织机制、重大科技项目形成机制和组织实施方式</w:t>
      </w:r>
      <w:r>
        <w:t>。</w:t>
      </w:r>
      <w:r>
        <w:rPr>
          <w:rFonts w:hint="eastAsia"/>
          <w:b/>
          <w:bCs/>
        </w:rPr>
        <w:t>强化人才改革，</w:t>
      </w:r>
      <w:r>
        <w:t>以</w:t>
      </w:r>
      <w:r>
        <w:rPr>
          <w:rFonts w:hint="eastAsia"/>
        </w:rPr>
        <w:t>人才AB卡</w:t>
      </w:r>
      <w:r>
        <w:t>为基础，探索实施更加积极、开放、有效的人才政策</w:t>
      </w:r>
      <w:r>
        <w:rPr>
          <w:rFonts w:hint="eastAsia"/>
        </w:rPr>
        <w:t>，</w:t>
      </w:r>
      <w:r>
        <w:t>激发人才创新活力，持续推动“人才奠基”计划落地落实，加快推进“宝坻人才卡”发放，建立宝坻人才信息库，推动人才跨区域交流。</w:t>
      </w:r>
    </w:p>
    <w:p w14:paraId="14E9CD10">
      <w:pPr>
        <w:ind w:firstLine="640"/>
      </w:pPr>
      <w:bookmarkStart w:id="71" w:name="OLE_LINK16"/>
      <w:r>
        <w:rPr>
          <w:rFonts w:hint="eastAsia" w:eastAsia="楷体" w:cs="楷体"/>
          <w:bCs/>
          <w:szCs w:val="32"/>
        </w:rPr>
        <w:t>深化城乡融合改革</w:t>
      </w:r>
      <w:bookmarkEnd w:id="71"/>
      <w:r>
        <w:rPr>
          <w:rFonts w:hint="eastAsia" w:eastAsia="楷体" w:cs="楷体"/>
          <w:bCs/>
          <w:szCs w:val="32"/>
        </w:rPr>
        <w:t>。</w:t>
      </w:r>
      <w:bookmarkStart w:id="72" w:name="OLE_LINK21"/>
      <w:r>
        <w:t>建立健全有利于城乡要素合理配置、基本公共服务普惠共享、基础设施一体化发展的体制机制</w:t>
      </w:r>
      <w:bookmarkStart w:id="73" w:name="OLE_LINK20"/>
      <w:r>
        <w:rPr>
          <w:rFonts w:hint="eastAsia"/>
        </w:rPr>
        <w:t>，</w:t>
      </w:r>
      <w:r>
        <w:t>深化城乡规划、建设、运营、治理体制改革，优化“一核两翼”区域发展格局。</w:t>
      </w:r>
      <w:bookmarkEnd w:id="72"/>
      <w:bookmarkStart w:id="74" w:name="OLE_LINK22"/>
      <w:r>
        <w:t>健全城乡要素平等交换、双向流动的政策体系，</w:t>
      </w:r>
      <w:r>
        <w:rPr>
          <w:rFonts w:hint="eastAsia"/>
        </w:rPr>
        <w:t>深化农村土地制度改革，</w:t>
      </w:r>
      <w:r>
        <w:t>建立健全推动乡村产业、人才、文化、生态、组织全面振兴的长效机制，促进城乡共同繁荣。</w:t>
      </w:r>
      <w:bookmarkEnd w:id="73"/>
      <w:bookmarkEnd w:id="74"/>
    </w:p>
    <w:p w14:paraId="56BA9D5B">
      <w:pPr>
        <w:ind w:firstLine="640"/>
      </w:pPr>
      <w:r>
        <w:rPr>
          <w:rFonts w:hint="eastAsia" w:eastAsia="楷体" w:cs="楷体"/>
          <w:bCs/>
          <w:szCs w:val="32"/>
        </w:rPr>
        <w:t>深化民生保障制度改革。</w:t>
      </w:r>
      <w:r>
        <w:rPr>
          <w:rFonts w:hint="eastAsia"/>
        </w:rPr>
        <w:t>树牢以人民为中心的发展思想，健全普惠性、基础性、兜底性民生保障制度。</w:t>
      </w:r>
      <w:r>
        <w:t>深化收入分配制度改革，健全就业公共服务体系</w:t>
      </w:r>
      <w:r>
        <w:rPr>
          <w:rFonts w:hint="eastAsia"/>
        </w:rPr>
        <w:t>。</w:t>
      </w:r>
      <w:r>
        <w:t>深化医药卫生体制改革</w:t>
      </w:r>
      <w:r>
        <w:rPr>
          <w:rFonts w:hint="eastAsia"/>
        </w:rPr>
        <w:t>，</w:t>
      </w:r>
      <w:r>
        <w:t>强化基层医疗卫生服务能力，完善分级诊疗体系</w:t>
      </w:r>
      <w:r>
        <w:rPr>
          <w:rFonts w:hint="eastAsia"/>
        </w:rPr>
        <w:t>。</w:t>
      </w:r>
      <w:r>
        <w:t>健全“一老一小”服务供给体系，构建人口长期均衡发展的支持政策。</w:t>
      </w:r>
    </w:p>
    <w:p w14:paraId="192AEFCC">
      <w:pPr>
        <w:ind w:firstLine="640"/>
      </w:pPr>
      <w:r>
        <w:rPr>
          <w:rFonts w:hint="eastAsia" w:eastAsia="楷体" w:cs="楷体"/>
          <w:bCs/>
          <w:szCs w:val="32"/>
        </w:rPr>
        <w:t>深化事业单位综合改革。</w:t>
      </w:r>
      <w:r>
        <w:rPr>
          <w:rFonts w:hint="eastAsia"/>
        </w:rPr>
        <w:t>紧扣中央和市级部署要求，</w:t>
      </w:r>
      <w:r>
        <w:t>聚焦职能优化、机制创新、服务升级三大方向，</w:t>
      </w:r>
      <w:r>
        <w:rPr>
          <w:rFonts w:hint="eastAsia"/>
        </w:rPr>
        <w:t>全面深化事业单位改革，优化机构布局与职能配置，深化编制管理、人事制度、收入分配等关键环节改革，聚焦主责主业，提升公共服务供给质量。</w:t>
      </w:r>
    </w:p>
    <w:p w14:paraId="79593092">
      <w:pPr>
        <w:pStyle w:val="4"/>
        <w:spacing w:before="217" w:after="217"/>
        <w:rPr>
          <w:rFonts w:ascii="宋体" w:hAnsi="宋体"/>
        </w:rPr>
      </w:pPr>
      <w:bookmarkStart w:id="75" w:name="_Toc219068713"/>
      <w:bookmarkStart w:id="76" w:name="_Toc212560064"/>
      <w:r>
        <w:rPr>
          <w:rFonts w:hint="eastAsia" w:ascii="宋体" w:hAnsi="宋体"/>
        </w:rPr>
        <w:t>第三节 全面推动营商环境改革优化</w:t>
      </w:r>
      <w:bookmarkEnd w:id="75"/>
      <w:bookmarkEnd w:id="76"/>
    </w:p>
    <w:p w14:paraId="6FE6D3EF">
      <w:pPr>
        <w:ind w:firstLine="640"/>
      </w:pPr>
      <w:bookmarkStart w:id="77" w:name="OLE_LINK18"/>
      <w:r>
        <w:rPr>
          <w:rFonts w:hint="eastAsia"/>
        </w:rPr>
        <w:t>坚持打造市场化、法治化、国际化一流营商环境，围绕高效政务、要素保障与创新服务持续发力，努力构建更加公平、更具活力的发展生态，为激发市场活力提供坚实支撑。</w:t>
      </w:r>
    </w:p>
    <w:p w14:paraId="4A24D8F8">
      <w:pPr>
        <w:ind w:firstLine="640"/>
      </w:pPr>
      <w:r>
        <w:rPr>
          <w:rFonts w:hint="eastAsia" w:eastAsia="楷体" w:cs="楷体"/>
          <w:bCs/>
          <w:szCs w:val="32"/>
        </w:rPr>
        <w:t>打造高效便捷的政务环境。</w:t>
      </w:r>
      <w:bookmarkStart w:id="78" w:name="OLE_LINK24"/>
      <w:r>
        <w:rPr>
          <w:rFonts w:hint="eastAsia"/>
          <w:bCs/>
        </w:rPr>
        <w:t>深化“放管服”改革，以智慧审批与新型监管提升服务效能，打造高效便捷、活力充盈的一流政务环境。</w:t>
      </w:r>
      <w:r>
        <w:rPr>
          <w:b/>
          <w:bCs/>
        </w:rPr>
        <w:t>推进政务服务标准化规范化便利化</w:t>
      </w:r>
      <w:r>
        <w:rPr>
          <w:rFonts w:hint="eastAsia"/>
          <w:b/>
        </w:rPr>
        <w:t>，</w:t>
      </w:r>
      <w:r>
        <w:t>推进极简审批、智慧审批，强化数据共享和业务协同，拓展“互联网+政务服务”，推广电子证照、电子印章应用，实现更多事项“免证办”“智能批”。</w:t>
      </w:r>
      <w:r>
        <w:rPr>
          <w:rFonts w:hint="eastAsia"/>
          <w:b/>
          <w:bCs/>
        </w:rPr>
        <w:t>强化事中事后监管，</w:t>
      </w:r>
      <w:r>
        <w:t>完善以“双随机、一公开”监管为基本手段、以重点监管为补充、以信用监管为基础的新型监管机制，推行包容审慎监管，激发市场活力与社会创造力。</w:t>
      </w:r>
      <w:r>
        <w:rPr>
          <w:rFonts w:hint="eastAsia"/>
          <w:b/>
          <w:bCs/>
        </w:rPr>
        <w:t>持续优化政务环境，</w:t>
      </w:r>
      <w:r>
        <w:t>巩固拓展“拿地即开工、竣工即投产”“</w:t>
      </w:r>
      <w:r>
        <w:rPr>
          <w:rFonts w:hint="eastAsia" w:eastAsia="宋体" w:cs="宋体"/>
        </w:rPr>
        <w:t>654</w:t>
      </w:r>
      <w:r>
        <w:rPr>
          <w:rFonts w:hint="eastAsia"/>
        </w:rPr>
        <w:t>陪跑</w:t>
      </w:r>
      <w:r>
        <w:t>”等服务机制，深化“首席审批官”制度，推行“集团化审批</w:t>
      </w:r>
      <w:r>
        <w:rPr>
          <w:rFonts w:hint="eastAsia"/>
        </w:rPr>
        <w:t>+集成化服务</w:t>
      </w:r>
      <w:r>
        <w:t>”。进一步提高“津心办”宝坻旗舰店知晓度和覆盖率，丰富“高效办成一件事”场景，确保</w:t>
      </w:r>
      <w:r>
        <w:rPr>
          <w:rFonts w:hint="eastAsia"/>
        </w:rPr>
        <w:t>办事流程</w:t>
      </w:r>
      <w:r>
        <w:t>减无可减、</w:t>
      </w:r>
      <w:r>
        <w:rPr>
          <w:rFonts w:hint="eastAsia"/>
        </w:rPr>
        <w:t>办事成本</w:t>
      </w:r>
      <w:r>
        <w:t>降无可降，打造高效便捷的政务环境。</w:t>
      </w:r>
      <w:bookmarkEnd w:id="78"/>
    </w:p>
    <w:p w14:paraId="468A239E">
      <w:pPr>
        <w:ind w:firstLine="640"/>
      </w:pPr>
      <w:r>
        <w:rPr>
          <w:rFonts w:hint="eastAsia" w:eastAsia="楷体" w:cs="楷体"/>
          <w:bCs/>
          <w:szCs w:val="32"/>
        </w:rPr>
        <w:t>持续增强市场环境竞争力。</w:t>
      </w:r>
      <w:bookmarkStart w:id="79" w:name="OLE_LINK28"/>
      <w:r>
        <w:rPr>
          <w:rFonts w:hint="eastAsia"/>
          <w:bCs/>
        </w:rPr>
        <w:t>聚焦要素畅通、政商亲清、环境诚信，全面激发市场主体活力与发展动能。</w:t>
      </w:r>
      <w:r>
        <w:rPr>
          <w:rFonts w:hint="eastAsia"/>
          <w:b/>
        </w:rPr>
        <w:t>畅通要素配置，</w:t>
      </w:r>
      <w:r>
        <w:t>优化土地、人才、技术、数据等要素配置机制，优先保障重点项目和优质企业需求，</w:t>
      </w:r>
      <w:r>
        <w:rPr>
          <w:rFonts w:hint="eastAsia"/>
        </w:rPr>
        <w:t>推行惠企政策精准直达市场主体，保障要素高效供给</w:t>
      </w:r>
      <w:r>
        <w:t>。</w:t>
      </w:r>
      <w:bookmarkStart w:id="80" w:name="OLE_LINK26"/>
      <w:r>
        <w:rPr>
          <w:rFonts w:hint="eastAsia"/>
          <w:b/>
          <w:bCs/>
        </w:rPr>
        <w:t>构建亲清政商关系，</w:t>
      </w:r>
      <w:r>
        <w:rPr>
          <w:rFonts w:hint="eastAsia"/>
        </w:rPr>
        <w:t>坚持“开门办营商”，完善丰富政商“零距离”沟通机制，构建亲清统一的新型政商关系，</w:t>
      </w:r>
      <w:r>
        <w:t>畅通企业诉求反映渠道。</w:t>
      </w:r>
      <w:bookmarkEnd w:id="80"/>
      <w:bookmarkStart w:id="81" w:name="OLE_LINK27"/>
      <w:r>
        <w:rPr>
          <w:rFonts w:hint="eastAsia"/>
          <w:b/>
          <w:bCs/>
        </w:rPr>
        <w:t>构建诚信开放环境，</w:t>
      </w:r>
      <w:r>
        <w:rPr>
          <w:rFonts w:hint="eastAsia"/>
        </w:rPr>
        <w:t>完善</w:t>
      </w:r>
      <w:r>
        <w:t>社会信用体系，健全守信联合激励和失信联合惩戒机制，培优诚信包容的人文环境。</w:t>
      </w:r>
      <w:r>
        <w:rPr>
          <w:rFonts w:hint="eastAsia"/>
        </w:rPr>
        <w:t>主动对接国际高标准经贸规则，培优透明可预期的制度环境，</w:t>
      </w:r>
      <w:r>
        <w:t>提升贸易投资自由化便利化水平。</w:t>
      </w:r>
      <w:bookmarkEnd w:id="79"/>
      <w:bookmarkEnd w:id="81"/>
    </w:p>
    <w:p w14:paraId="74826B2B">
      <w:pPr>
        <w:ind w:firstLine="640"/>
      </w:pPr>
      <w:r>
        <w:rPr>
          <w:rFonts w:hint="eastAsia" w:eastAsia="楷体" w:cs="楷体"/>
          <w:bCs/>
          <w:szCs w:val="32"/>
        </w:rPr>
        <w:t>深度融入全国统一大市场建设。</w:t>
      </w:r>
      <w:r>
        <w:rPr>
          <w:rFonts w:hint="eastAsia"/>
          <w:b/>
        </w:rPr>
        <w:t>积极融入京津冀区域一体化市场建设，</w:t>
      </w:r>
      <w:r>
        <w:rPr>
          <w:rFonts w:hint="eastAsia"/>
        </w:rPr>
        <w:t>坚决破除阻碍全国统一大市场建设卡点堵点，推进公共资源“一网交易”，促进形成更多由内需主导、消费拉动、内生增长的经济发展模式。</w:t>
      </w:r>
      <w:r>
        <w:rPr>
          <w:rFonts w:hint="eastAsia"/>
          <w:b/>
        </w:rPr>
        <w:t>推动公平竞争审查制度落实，</w:t>
      </w:r>
      <w:r>
        <w:rPr>
          <w:rFonts w:hint="eastAsia"/>
        </w:rPr>
        <w:t>健全完善招商引资机制，综合整治“内卷式”竞争。</w:t>
      </w:r>
      <w:r>
        <w:rPr>
          <w:rFonts w:hint="eastAsia"/>
          <w:b/>
        </w:rPr>
        <w:t>规范市场监管执法行为，</w:t>
      </w:r>
      <w:r>
        <w:rPr>
          <w:rFonts w:hint="eastAsia"/>
        </w:rPr>
        <w:t>完善行政处罚等领域行政裁量权基准制度，加强食品、药品安全等领域监管。强化产权执法司法保护，加强对查封、扣押、冻结等强制措施的司法监督。</w:t>
      </w:r>
      <w:r>
        <w:rPr>
          <w:rFonts w:hint="eastAsia"/>
          <w:b/>
        </w:rPr>
        <w:t>强化现代物流体系建设，</w:t>
      </w:r>
      <w:r>
        <w:rPr>
          <w:rFonts w:hint="eastAsia"/>
        </w:rPr>
        <w:t>高标准联通市场设施，降低物流成本。全面落实有利于统一大市场建设的统计、财税、考核制度。</w:t>
      </w:r>
    </w:p>
    <w:bookmarkEnd w:id="77"/>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60200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733B3469">
            <w:pPr>
              <w:adjustRightInd w:val="0"/>
              <w:snapToGrid w:val="0"/>
              <w:ind w:firstLine="21" w:firstLineChars="7"/>
              <w:jc w:val="center"/>
              <w:rPr>
                <w:sz w:val="30"/>
                <w:szCs w:val="30"/>
              </w:rPr>
            </w:pPr>
            <w:r>
              <w:rPr>
                <w:rFonts w:hint="eastAsia"/>
                <w:b/>
                <w:sz w:val="30"/>
                <w:szCs w:val="30"/>
              </w:rPr>
              <w:t>引领工程之二</w:t>
            </w:r>
            <w:r>
              <w:rPr>
                <w:b/>
                <w:sz w:val="30"/>
                <w:szCs w:val="30"/>
              </w:rPr>
              <w:t xml:space="preserve"> </w:t>
            </w:r>
            <w:bookmarkStart w:id="82" w:name="OLE_LINK3"/>
            <w:r>
              <w:rPr>
                <w:rFonts w:hint="eastAsia"/>
                <w:b/>
                <w:sz w:val="30"/>
                <w:szCs w:val="30"/>
              </w:rPr>
              <w:t>“营商环境提优”工程</w:t>
            </w:r>
            <w:bookmarkEnd w:id="82"/>
          </w:p>
        </w:tc>
      </w:tr>
      <w:tr w14:paraId="55D18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519FEB7D">
            <w:pPr>
              <w:adjustRightInd w:val="0"/>
              <w:snapToGrid w:val="0"/>
              <w:ind w:firstLine="600"/>
              <w:rPr>
                <w:sz w:val="30"/>
                <w:szCs w:val="30"/>
              </w:rPr>
            </w:pPr>
            <w:r>
              <w:rPr>
                <w:rFonts w:hint="eastAsia"/>
                <w:sz w:val="30"/>
                <w:szCs w:val="30"/>
              </w:rPr>
              <w:t>全面对标国际一流、国内先进，致力打造市场化、法治化、国际化的一流营商环境，通过系统性、制度性的改革创新，达成“审批环节少、办事效率高、服务质量优、企业获得感强”的总体目标，为各类市场主体在宝坻投资兴业营造稳定、公平、透明、可预期的发展生态。</w:t>
            </w:r>
          </w:p>
          <w:p w14:paraId="0D42F59D">
            <w:pPr>
              <w:adjustRightInd w:val="0"/>
              <w:snapToGrid w:val="0"/>
              <w:ind w:firstLine="602"/>
              <w:rPr>
                <w:rFonts w:cs="Times New Roman"/>
                <w:sz w:val="30"/>
                <w:szCs w:val="30"/>
              </w:rPr>
            </w:pPr>
            <w:r>
              <w:rPr>
                <w:rFonts w:hint="eastAsia" w:cs="Times New Roman"/>
                <w:b/>
                <w:bCs/>
                <w:sz w:val="30"/>
                <w:szCs w:val="30"/>
              </w:rPr>
              <w:t>（一）推出营商环境改革创新举措。</w:t>
            </w:r>
            <w:r>
              <w:rPr>
                <w:rFonts w:hint="eastAsia" w:cs="Times New Roman"/>
                <w:sz w:val="30"/>
                <w:szCs w:val="30"/>
              </w:rPr>
              <w:t>加快建设市场化、法治化、国际化一流营商环境，每年推出</w:t>
            </w:r>
            <w:r>
              <w:rPr>
                <w:rFonts w:hint="eastAsia" w:eastAsia="宋体" w:cs="宋体"/>
                <w:sz w:val="30"/>
                <w:szCs w:val="30"/>
              </w:rPr>
              <w:t>10</w:t>
            </w:r>
            <w:r>
              <w:rPr>
                <w:rFonts w:hint="eastAsia" w:cs="Times New Roman"/>
                <w:sz w:val="30"/>
                <w:szCs w:val="30"/>
              </w:rPr>
              <w:t>项营商环境改革创新举措，优化新业态新领域市场准入环境，培优开放透明的市场环境。全面完善产权保护制度、完善现代化市场监管机制，培优公平公正的法治环境。推行“集团化审批+集成化服务”，培优便捷高效的政务环境。优化土地、人才、技术、数据等配置机制，培优稳定有力的要素环境。坚持“开门办营商”，完善丰富政商“零距离”沟通机制，培优诚信包容的人文环境，不断提升经营主体认可度和满意度。</w:t>
            </w:r>
          </w:p>
          <w:p w14:paraId="57ACDC27">
            <w:pPr>
              <w:adjustRightInd w:val="0"/>
              <w:snapToGrid w:val="0"/>
              <w:ind w:firstLine="602"/>
              <w:rPr>
                <w:rFonts w:cs="Times New Roman"/>
                <w:sz w:val="30"/>
                <w:szCs w:val="30"/>
              </w:rPr>
            </w:pPr>
            <w:r>
              <w:rPr>
                <w:rFonts w:hint="eastAsia" w:cs="Times New Roman"/>
                <w:b/>
                <w:bCs/>
                <w:sz w:val="30"/>
                <w:szCs w:val="30"/>
              </w:rPr>
              <w:t>（二）提升“一件事”政务服务质效。</w:t>
            </w:r>
            <w:r>
              <w:rPr>
                <w:rFonts w:hint="eastAsia" w:cs="Times New Roman"/>
                <w:sz w:val="30"/>
                <w:szCs w:val="30"/>
              </w:rPr>
              <w:t>高标准落实“高效办成一件事”，至少再丰富</w:t>
            </w:r>
            <w:r>
              <w:rPr>
                <w:rFonts w:hint="eastAsia" w:eastAsia="宋体" w:cs="宋体"/>
                <w:sz w:val="30"/>
                <w:szCs w:val="30"/>
              </w:rPr>
              <w:t>20</w:t>
            </w:r>
            <w:r>
              <w:rPr>
                <w:rFonts w:hint="eastAsia" w:cs="Times New Roman"/>
                <w:sz w:val="30"/>
                <w:szCs w:val="30"/>
              </w:rPr>
              <w:t>个“一件事”服务场景，拓展增值化服务内容，强化数据共享和业务协同，持续提升“津心办”宝坻旗舰店服务效能，围绕企业发展全要素打造政务服务</w:t>
            </w:r>
            <w:r>
              <w:rPr>
                <w:rFonts w:hint="eastAsia" w:eastAsia="宋体" w:cs="宋体"/>
                <w:sz w:val="30"/>
                <w:szCs w:val="30"/>
              </w:rPr>
              <w:t>360</w:t>
            </w:r>
            <w:r>
              <w:rPr>
                <w:rFonts w:hint="eastAsia" w:cs="Times New Roman"/>
                <w:sz w:val="30"/>
                <w:szCs w:val="30"/>
              </w:rPr>
              <w:t>服务机制。</w:t>
            </w:r>
          </w:p>
          <w:p w14:paraId="4292764B">
            <w:pPr>
              <w:adjustRightInd w:val="0"/>
              <w:snapToGrid w:val="0"/>
              <w:ind w:firstLine="602"/>
              <w:rPr>
                <w:rFonts w:cs="Times New Roman"/>
                <w:sz w:val="30"/>
                <w:szCs w:val="30"/>
              </w:rPr>
            </w:pPr>
            <w:r>
              <w:rPr>
                <w:rFonts w:hint="eastAsia" w:cs="Times New Roman"/>
                <w:b/>
                <w:bCs/>
                <w:sz w:val="30"/>
                <w:szCs w:val="30"/>
              </w:rPr>
              <w:t>（三）开展“项目直通车”全周期护航。</w:t>
            </w:r>
            <w:r>
              <w:rPr>
                <w:rFonts w:hint="eastAsia" w:cs="Times New Roman"/>
                <w:sz w:val="30"/>
                <w:szCs w:val="30"/>
              </w:rPr>
              <w:t>聚焦区内重点项目，提供从落地建设到投产运营的全生命周期陪跑服务，到</w:t>
            </w:r>
            <w:r>
              <w:rPr>
                <w:rFonts w:hint="eastAsia" w:eastAsia="宋体" w:cs="宋体"/>
                <w:sz w:val="30"/>
                <w:szCs w:val="30"/>
              </w:rPr>
              <w:t>2030</w:t>
            </w:r>
            <w:r>
              <w:rPr>
                <w:rFonts w:hint="eastAsia" w:cs="Times New Roman"/>
                <w:sz w:val="30"/>
                <w:szCs w:val="30"/>
              </w:rPr>
              <w:t>年新拿地项目“拿地即开工、竣工即投产、分部位施工”应用率达到</w:t>
            </w:r>
            <w:r>
              <w:rPr>
                <w:rFonts w:hint="eastAsia" w:eastAsia="宋体" w:cs="宋体"/>
                <w:sz w:val="30"/>
                <w:szCs w:val="30"/>
              </w:rPr>
              <w:t>60%</w:t>
            </w:r>
            <w:r>
              <w:rPr>
                <w:rFonts w:hint="eastAsia" w:cs="Times New Roman"/>
                <w:sz w:val="30"/>
                <w:szCs w:val="30"/>
              </w:rPr>
              <w:t>以上。</w:t>
            </w:r>
          </w:p>
          <w:p w14:paraId="44809286">
            <w:pPr>
              <w:adjustRightInd w:val="0"/>
              <w:snapToGrid w:val="0"/>
              <w:ind w:firstLine="602"/>
              <w:rPr>
                <w:rFonts w:cs="Times New Roman"/>
                <w:sz w:val="30"/>
                <w:szCs w:val="30"/>
              </w:rPr>
            </w:pPr>
            <w:r>
              <w:rPr>
                <w:rFonts w:hint="eastAsia" w:cs="Times New Roman"/>
                <w:b/>
                <w:bCs/>
                <w:sz w:val="30"/>
                <w:szCs w:val="30"/>
              </w:rPr>
              <w:t>（四）构建全域智慧政务服务体系。</w:t>
            </w:r>
            <w:r>
              <w:rPr>
                <w:rFonts w:hint="eastAsia" w:cs="Times New Roman"/>
                <w:sz w:val="30"/>
                <w:szCs w:val="30"/>
              </w:rPr>
              <w:t>持续推进政务服务标准化规范化便利化，推进极简审批、智慧审批，推动政务服务事项 “一网通办”全流程、全覆盖。强化数据共享和业务协同，推广电子证照、电子印章、电子签名等共享共用。拓展增值化服务内容，构建从“窗口”到“家门口”的政务服务体系，从企业全生命周期、全流程陪跑帮办、全方位多种服务机制运用上着手，有效提升服务效能。积极运用AI赋能、“云”上服务等新手段，打造“横向到边、纵向到底、覆盖全域”的政务服务网络。</w:t>
            </w:r>
          </w:p>
        </w:tc>
      </w:tr>
    </w:tbl>
    <w:p w14:paraId="414415C5">
      <w:pPr>
        <w:widowControl/>
        <w:spacing w:line="240" w:lineRule="auto"/>
        <w:ind w:firstLine="0" w:firstLineChars="0"/>
        <w:jc w:val="left"/>
        <w:rPr>
          <w:rStyle w:val="24"/>
          <w:rFonts w:eastAsia="黑体" w:cs="Times New Roman"/>
          <w:b w:val="0"/>
          <w:bCs w:val="0"/>
          <w:kern w:val="0"/>
          <w:szCs w:val="28"/>
        </w:rPr>
      </w:pPr>
      <w:r>
        <w:rPr>
          <w:rStyle w:val="24"/>
          <w:rFonts w:cs="Times New Roman"/>
        </w:rPr>
        <w:br w:type="page"/>
      </w:r>
    </w:p>
    <w:p w14:paraId="482A3061">
      <w:pPr>
        <w:pStyle w:val="3"/>
        <w:spacing w:before="435" w:after="435"/>
        <w:ind w:left="320" w:leftChars="100" w:right="320" w:rightChars="100"/>
        <w:rPr>
          <w:rFonts w:ascii="宋体" w:hAnsi="宋体"/>
        </w:rPr>
      </w:pPr>
      <w:bookmarkStart w:id="83" w:name="_Toc219068714"/>
      <w:r>
        <w:rPr>
          <w:rFonts w:hint="eastAsia" w:ascii="宋体" w:hAnsi="宋体"/>
        </w:rPr>
        <w:t xml:space="preserve">第五章 </w:t>
      </w:r>
      <w:r>
        <w:rPr>
          <w:rFonts w:ascii="宋体" w:hAnsi="宋体"/>
        </w:rPr>
        <w:t xml:space="preserve"> </w:t>
      </w:r>
      <w:r>
        <w:rPr>
          <w:rFonts w:hint="eastAsia" w:ascii="宋体" w:hAnsi="宋体"/>
        </w:rPr>
        <w:t>全方位促消费扩投资，积极</w:t>
      </w:r>
      <w:r>
        <w:rPr>
          <w:rFonts w:ascii="宋体" w:hAnsi="宋体"/>
        </w:rPr>
        <w:t>融入国内国际双循环新格局</w:t>
      </w:r>
      <w:bookmarkEnd w:id="83"/>
    </w:p>
    <w:p w14:paraId="5B4FF333">
      <w:pPr>
        <w:ind w:firstLine="640"/>
      </w:pPr>
      <w:r>
        <w:rPr>
          <w:rFonts w:hint="eastAsia"/>
        </w:rPr>
        <w:t>立足全区实际，坚持惠民生和促消费、投资于物和投资于人紧密结合，构建扩大消费长效机制和投资内生增长机制，深入实施“消费能级提升”工程，推进高水平对外开放，促进外贸提质增效，积极融入以国内大循环为主体、国内国际双循环相互促进的新发展格局。</w:t>
      </w:r>
    </w:p>
    <w:p w14:paraId="6310F3E2">
      <w:pPr>
        <w:pStyle w:val="4"/>
        <w:spacing w:before="217" w:after="217"/>
        <w:rPr>
          <w:rFonts w:ascii="宋体" w:hAnsi="宋体"/>
        </w:rPr>
      </w:pPr>
      <w:bookmarkStart w:id="84" w:name="_Toc219068715"/>
      <w:r>
        <w:rPr>
          <w:rFonts w:hint="eastAsia" w:ascii="宋体" w:hAnsi="宋体"/>
        </w:rPr>
        <w:t xml:space="preserve">第一节 </w:t>
      </w:r>
      <w:r>
        <w:rPr>
          <w:rFonts w:hint="eastAsia" w:ascii="宋体" w:hAnsi="宋体" w:cs="Times New Roman"/>
          <w:kern w:val="0"/>
        </w:rPr>
        <w:t>大力提振消费</w:t>
      </w:r>
      <w:bookmarkEnd w:id="84"/>
    </w:p>
    <w:p w14:paraId="07FC2F9F">
      <w:pPr>
        <w:ind w:firstLine="640"/>
      </w:pPr>
      <w:r>
        <w:rPr>
          <w:rFonts w:hint="eastAsia"/>
        </w:rPr>
        <w:t>抓住天津市加快建设国际消费中心城市这一重大机遇，充分发挥自身优势，深入实施“消费能级提升”引领工程，坚持促增收与扩消费并举，</w:t>
      </w:r>
      <w:r>
        <w:t>以增收夯实基础，以新业态新场景释放城乡消费潜力，全方位激发内需活力，构建“大消费”格局。</w:t>
      </w:r>
    </w:p>
    <w:p w14:paraId="494CEC16">
      <w:pPr>
        <w:ind w:firstLine="640"/>
        <w:rPr>
          <w:kern w:val="0"/>
        </w:rPr>
      </w:pPr>
      <w:r>
        <w:rPr>
          <w:rFonts w:eastAsia="楷体"/>
          <w:kern w:val="0"/>
        </w:rPr>
        <w:t>完善消费新业态</w:t>
      </w:r>
      <w:r>
        <w:rPr>
          <w:rFonts w:hint="eastAsia" w:eastAsia="楷体"/>
          <w:kern w:val="0"/>
        </w:rPr>
        <w:t>。</w:t>
      </w:r>
      <w:r>
        <w:rPr>
          <w:rFonts w:hint="eastAsia" w:cs="仿宋_GB2312"/>
          <w:b/>
          <w:bCs/>
          <w:kern w:val="0"/>
        </w:rPr>
        <w:t>积极打造消费新地标，</w:t>
      </w:r>
      <w:r>
        <w:rPr>
          <w:rFonts w:hint="eastAsia" w:cs="仿宋_GB2312"/>
          <w:kern w:val="0"/>
        </w:rPr>
        <w:t>建成一批大型商业综合体，推动苑北路商圈完成焕新升级，支持大型商超多业态发展，建设一批一流特色商街和高品位步行街。</w:t>
      </w:r>
      <w:r>
        <w:rPr>
          <w:rFonts w:hint="eastAsia"/>
          <w:b/>
          <w:kern w:val="0"/>
        </w:rPr>
        <w:t>加快培育多种消费模式，</w:t>
      </w:r>
      <w:r>
        <w:rPr>
          <w:rFonts w:hint="eastAsia"/>
          <w:kern w:val="0"/>
        </w:rPr>
        <w:t>以构建直播电商服务体系为重要抓手，发展新品首发、首店入驻、首展首秀等创新商业模式，培育智能穿戴、智能家居等消费新增长点，激发市场活力。</w:t>
      </w:r>
      <w:r>
        <w:rPr>
          <w:rFonts w:hint="eastAsia"/>
          <w:b/>
          <w:kern w:val="0"/>
        </w:rPr>
        <w:t>大力发展多种消费经济，</w:t>
      </w:r>
      <w:r>
        <w:rPr>
          <w:rFonts w:hint="eastAsia"/>
          <w:bCs/>
          <w:kern w:val="0"/>
        </w:rPr>
        <w:t>培育</w:t>
      </w:r>
      <w:r>
        <w:rPr>
          <w:rFonts w:hint="eastAsia"/>
          <w:kern w:val="0"/>
        </w:rPr>
        <w:t>发展首发经济、银发经济，活跃夜间经济、假日经济，增加高品质、个性化消费产品。引导直播电商健康发展，打造一批电商领跑村（社区）。</w:t>
      </w:r>
      <w:r>
        <w:rPr>
          <w:rFonts w:hint="eastAsia"/>
          <w:b/>
          <w:kern w:val="0"/>
        </w:rPr>
        <w:t>着力打造多种消费场景，</w:t>
      </w:r>
      <w:r>
        <w:rPr>
          <w:rFonts w:hint="eastAsia"/>
          <w:kern w:val="0"/>
        </w:rPr>
        <w:t>推动商业载体从购物功能向社交体验中心转型，</w:t>
      </w:r>
      <w:r>
        <w:rPr>
          <w:kern w:val="0"/>
        </w:rPr>
        <w:t>支持主题式商场、文创市集等新业态，</w:t>
      </w:r>
      <w:r>
        <w:rPr>
          <w:rFonts w:hint="eastAsia"/>
          <w:kern w:val="0"/>
        </w:rPr>
        <w:t>发展“沉浸式体验消费”</w:t>
      </w:r>
      <w:r>
        <w:rPr>
          <w:kern w:val="0"/>
        </w:rPr>
        <w:t>。推动零售业创新提升，支持“到店”与“到家”协同发展，做大做优线上消费平台</w:t>
      </w:r>
      <w:r>
        <w:rPr>
          <w:rFonts w:hint="eastAsia"/>
          <w:kern w:val="0"/>
        </w:rPr>
        <w:t>。</w:t>
      </w:r>
      <w:r>
        <w:rPr>
          <w:rFonts w:hint="eastAsia" w:cs="仿宋_GB2312"/>
          <w:kern w:val="0"/>
        </w:rPr>
        <w:t>提升京津新城商业配套品质，创造性推出消费新场景。</w:t>
      </w:r>
    </w:p>
    <w:p w14:paraId="784D1828">
      <w:pPr>
        <w:ind w:firstLine="640"/>
        <w:rPr>
          <w:kern w:val="0"/>
        </w:rPr>
      </w:pPr>
      <w:r>
        <w:rPr>
          <w:rFonts w:eastAsia="楷体"/>
          <w:kern w:val="0"/>
        </w:rPr>
        <w:t>释放城乡消费活力</w:t>
      </w:r>
      <w:r>
        <w:rPr>
          <w:rFonts w:hint="eastAsia" w:eastAsia="楷体"/>
          <w:kern w:val="0"/>
        </w:rPr>
        <w:t>。</w:t>
      </w:r>
      <w:r>
        <w:rPr>
          <w:rFonts w:hint="eastAsia"/>
          <w:b/>
          <w:bCs/>
          <w:kern w:val="0"/>
        </w:rPr>
        <w:t>深入实施提振消费专项行动，</w:t>
      </w:r>
      <w:r>
        <w:rPr>
          <w:rFonts w:hint="eastAsia"/>
          <w:kern w:val="0"/>
        </w:rPr>
        <w:t>完善提振消费机制，促进住房、汽车等大宗消费。</w:t>
      </w:r>
      <w:r>
        <w:rPr>
          <w:rFonts w:hint="eastAsia"/>
          <w:b/>
          <w:bCs/>
          <w:kern w:val="0"/>
        </w:rPr>
        <w:t>优化商业网点体系，</w:t>
      </w:r>
      <w:r>
        <w:rPr>
          <w:rFonts w:hint="eastAsia"/>
          <w:kern w:val="0"/>
        </w:rPr>
        <w:t>大力发展交通运输和冷链物流，完善大型居住片区商业服务能力和新兴产业基地商业配套，就近增强消费吸附力。</w:t>
      </w:r>
      <w:r>
        <w:rPr>
          <w:b/>
          <w:kern w:val="0"/>
        </w:rPr>
        <w:t>完善</w:t>
      </w:r>
      <w:r>
        <w:rPr>
          <w:rFonts w:hint="eastAsia" w:cs="Times New Roman"/>
          <w:b/>
          <w:kern w:val="0"/>
        </w:rPr>
        <w:t>一刻钟</w:t>
      </w:r>
      <w:r>
        <w:rPr>
          <w:b/>
          <w:kern w:val="0"/>
        </w:rPr>
        <w:t>便民生活圈，</w:t>
      </w:r>
      <w:r>
        <w:rPr>
          <w:kern w:val="0"/>
        </w:rPr>
        <w:t>支持社区商业数字化升级，新增智能便利店、智慧菜场，促进生活性服务业高品质、多样化、便利化发展</w:t>
      </w:r>
      <w:r>
        <w:rPr>
          <w:rFonts w:hint="eastAsia"/>
          <w:kern w:val="0"/>
        </w:rPr>
        <w:t>。</w:t>
      </w:r>
      <w:r>
        <w:rPr>
          <w:rFonts w:hint="eastAsia"/>
          <w:b/>
          <w:kern w:val="0"/>
        </w:rPr>
        <w:t>培育</w:t>
      </w:r>
      <w:r>
        <w:rPr>
          <w:b/>
          <w:kern w:val="0"/>
        </w:rPr>
        <w:t>构建“潮白河消费走廊”，</w:t>
      </w:r>
      <w:r>
        <w:rPr>
          <w:rFonts w:hint="eastAsia"/>
          <w:bCs/>
          <w:kern w:val="0"/>
        </w:rPr>
        <w:t>探索“IP+消费”模式，</w:t>
      </w:r>
      <w:r>
        <w:rPr>
          <w:kern w:val="0"/>
        </w:rPr>
        <w:t>引入体验式消费场景，融合赛事活动、产品展销等多元业态，打造</w:t>
      </w:r>
      <w:r>
        <w:rPr>
          <w:rFonts w:hint="eastAsia"/>
          <w:kern w:val="0"/>
        </w:rPr>
        <w:t>“都市周末消费”新模式</w:t>
      </w:r>
      <w:r>
        <w:rPr>
          <w:kern w:val="0"/>
        </w:rPr>
        <w:t>，</w:t>
      </w:r>
      <w:r>
        <w:rPr>
          <w:rFonts w:hint="eastAsia"/>
          <w:kern w:val="0"/>
        </w:rPr>
        <w:t>形成集购物、餐饮、文旅于一体的消费新高地</w:t>
      </w:r>
      <w:r>
        <w:rPr>
          <w:kern w:val="0"/>
        </w:rPr>
        <w:t>。</w:t>
      </w:r>
    </w:p>
    <w:p w14:paraId="2D8019D1">
      <w:pPr>
        <w:ind w:firstLine="640"/>
        <w:rPr>
          <w:kern w:val="0"/>
        </w:rPr>
      </w:pPr>
      <w:r>
        <w:rPr>
          <w:rFonts w:hint="eastAsia" w:eastAsia="楷体"/>
          <w:kern w:val="0"/>
        </w:rPr>
        <w:t>优化消费环境。</w:t>
      </w:r>
      <w:bookmarkStart w:id="85" w:name="OLE_LINK39"/>
      <w:bookmarkStart w:id="86" w:name="OLE_LINK38"/>
      <w:r>
        <w:rPr>
          <w:rFonts w:hint="eastAsia"/>
          <w:kern w:val="0"/>
        </w:rPr>
        <w:t>落实好《天津市优化消费环境三年行动实施方案（2025—2027年）》。</w:t>
      </w:r>
      <w:r>
        <w:rPr>
          <w:rFonts w:hint="eastAsia"/>
          <w:b/>
          <w:kern w:val="0"/>
        </w:rPr>
        <w:t>完善促进消费制度机制，</w:t>
      </w:r>
      <w:r>
        <w:rPr>
          <w:rFonts w:hint="eastAsia"/>
          <w:kern w:val="0"/>
        </w:rPr>
        <w:t>建立健全适应消费新业态新模式新场景的管理办法，</w:t>
      </w:r>
      <w:r>
        <w:rPr>
          <w:rFonts w:cs="Segoe UI"/>
          <w:color w:val="0F1115"/>
          <w:shd w:val="clear" w:color="auto" w:fill="FFFFFF"/>
        </w:rPr>
        <w:t>创造更多消费机会，满足人民群众多元化、高品质的消费需求</w:t>
      </w:r>
      <w:r>
        <w:rPr>
          <w:rFonts w:hint="eastAsia"/>
          <w:kern w:val="0"/>
        </w:rPr>
        <w:t>。</w:t>
      </w:r>
      <w:bookmarkEnd w:id="85"/>
      <w:bookmarkEnd w:id="86"/>
      <w:r>
        <w:rPr>
          <w:rFonts w:hint="eastAsia"/>
          <w:b/>
          <w:kern w:val="0"/>
        </w:rPr>
        <w:t>优化市场监管机制，</w:t>
      </w:r>
      <w:r>
        <w:rPr>
          <w:rFonts w:hint="eastAsia"/>
          <w:kern w:val="0"/>
        </w:rPr>
        <w:t>平衡监管力度与营商温度，进一步降低市场准入门槛，适当放宽街面店铺、夜间摊位管控措施，实施柔性监管。</w:t>
      </w:r>
      <w:r>
        <w:rPr>
          <w:rFonts w:hint="eastAsia"/>
          <w:b/>
          <w:kern w:val="0"/>
        </w:rPr>
        <w:t>强化消费者权益保护，</w:t>
      </w:r>
      <w:r>
        <w:rPr>
          <w:rFonts w:hint="eastAsia"/>
          <w:kern w:val="0"/>
        </w:rPr>
        <w:t>提高消费维权效能，畅通投诉举报渠道，健全消费争议多元化解机制，营造公平、安全、放心的消费环境。</w:t>
      </w:r>
    </w:p>
    <w:p w14:paraId="2ED71CB5">
      <w:pPr>
        <w:ind w:firstLine="640"/>
        <w:rPr>
          <w:kern w:val="0"/>
        </w:rPr>
      </w:pP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4CA57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000" w:type="pct"/>
          </w:tcPr>
          <w:p w14:paraId="4FA94FD6">
            <w:pPr>
              <w:adjustRightInd w:val="0"/>
              <w:snapToGrid w:val="0"/>
              <w:ind w:firstLine="0" w:firstLineChars="0"/>
              <w:jc w:val="center"/>
              <w:rPr>
                <w:szCs w:val="32"/>
              </w:rPr>
            </w:pPr>
            <w:r>
              <w:rPr>
                <w:rFonts w:hint="eastAsia"/>
                <w:b/>
                <w:sz w:val="28"/>
                <w:szCs w:val="36"/>
              </w:rPr>
              <w:t>引领工程之三</w:t>
            </w:r>
            <w:r>
              <w:rPr>
                <w:b/>
                <w:sz w:val="28"/>
                <w:szCs w:val="36"/>
              </w:rPr>
              <w:t xml:space="preserve"> </w:t>
            </w:r>
            <w:r>
              <w:rPr>
                <w:rFonts w:hint="eastAsia"/>
                <w:b/>
                <w:sz w:val="28"/>
                <w:szCs w:val="36"/>
              </w:rPr>
              <w:t>“消费能级提升”工程</w:t>
            </w:r>
          </w:p>
        </w:tc>
      </w:tr>
      <w:tr w14:paraId="7897F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7D33D2A5">
            <w:pPr>
              <w:adjustRightInd w:val="0"/>
              <w:snapToGrid w:val="0"/>
              <w:ind w:firstLine="600"/>
              <w:rPr>
                <w:sz w:val="30"/>
                <w:szCs w:val="30"/>
              </w:rPr>
            </w:pPr>
            <w:r>
              <w:rPr>
                <w:rFonts w:hint="eastAsia"/>
                <w:sz w:val="30"/>
                <w:szCs w:val="30"/>
              </w:rPr>
              <w:t>精准把握消费升级新趋势，以高品质、多样化、新业态供给为核心，通过供给创新、场景营造和环境优化，达成“消费业态更丰富、消费环境更优质、消费辐射更广泛、居民消费更满意”的总体目标，到2030年，社会消费品零售总额超过137亿元，培育形成</w:t>
            </w:r>
            <w:r>
              <w:rPr>
                <w:rFonts w:hint="eastAsia" w:eastAsia="宋体" w:cs="宋体"/>
                <w:sz w:val="30"/>
                <w:szCs w:val="30"/>
              </w:rPr>
              <w:t>2</w:t>
            </w:r>
            <w:r>
              <w:rPr>
                <w:rFonts w:cs="Times New Roman"/>
                <w:sz w:val="30"/>
                <w:szCs w:val="30"/>
              </w:rPr>
              <w:t>个具有区域影响力的商圈或特色商业街区</w:t>
            </w:r>
            <w:r>
              <w:rPr>
                <w:rFonts w:hint="eastAsia"/>
                <w:sz w:val="30"/>
                <w:szCs w:val="30"/>
              </w:rPr>
              <w:t>。</w:t>
            </w:r>
          </w:p>
          <w:p w14:paraId="53C81501">
            <w:pPr>
              <w:adjustRightInd w:val="0"/>
              <w:snapToGrid w:val="0"/>
              <w:ind w:firstLine="602"/>
              <w:rPr>
                <w:sz w:val="30"/>
                <w:szCs w:val="30"/>
              </w:rPr>
            </w:pPr>
            <w:r>
              <w:rPr>
                <w:rFonts w:hint="eastAsia"/>
                <w:b/>
                <w:bCs/>
                <w:sz w:val="30"/>
                <w:szCs w:val="30"/>
              </w:rPr>
              <w:t>（一）建设高水平商圈。</w:t>
            </w:r>
            <w:r>
              <w:rPr>
                <w:rFonts w:hint="eastAsia"/>
                <w:sz w:val="30"/>
                <w:szCs w:val="30"/>
              </w:rPr>
              <w:t>对标国内一流水平，推动场景化改造，推进南关大街与劝宝商圈功能业态重塑，打造活力发展轴，引导传统购物中心、百货店、家居市场向社交体验、家庭消费、文化消费中心转变，打造策展型商业、沉浸式体验等消费新空间。</w:t>
            </w:r>
          </w:p>
          <w:p w14:paraId="07A35FDE">
            <w:pPr>
              <w:adjustRightInd w:val="0"/>
              <w:snapToGrid w:val="0"/>
              <w:ind w:firstLine="602"/>
              <w:rPr>
                <w:sz w:val="30"/>
                <w:szCs w:val="30"/>
              </w:rPr>
            </w:pPr>
            <w:r>
              <w:rPr>
                <w:rFonts w:hint="eastAsia"/>
                <w:b/>
                <w:bCs/>
                <w:sz w:val="30"/>
                <w:szCs w:val="30"/>
              </w:rPr>
              <w:t>（二）加强首发经济场景打造。</w:t>
            </w:r>
            <w:r>
              <w:rPr>
                <w:rFonts w:hint="eastAsia"/>
                <w:sz w:val="30"/>
                <w:szCs w:val="30"/>
              </w:rPr>
              <w:t>积极落实市级首发经济支持政策，依托重点商业项目，打造区级首发经济集聚区和平台，“十五五”期间，每年新增知名品牌首店不少于</w:t>
            </w:r>
            <w:r>
              <w:rPr>
                <w:rFonts w:cs="Times New Roman"/>
                <w:sz w:val="30"/>
                <w:szCs w:val="30"/>
              </w:rPr>
              <w:t>5</w:t>
            </w:r>
            <w:r>
              <w:rPr>
                <w:rFonts w:hint="eastAsia"/>
                <w:sz w:val="30"/>
                <w:szCs w:val="30"/>
              </w:rPr>
              <w:t>家。</w:t>
            </w:r>
          </w:p>
          <w:p w14:paraId="5EA16379">
            <w:pPr>
              <w:adjustRightInd w:val="0"/>
              <w:snapToGrid w:val="0"/>
              <w:ind w:firstLine="602"/>
              <w:rPr>
                <w:b/>
                <w:sz w:val="28"/>
                <w:szCs w:val="28"/>
              </w:rPr>
            </w:pPr>
            <w:r>
              <w:rPr>
                <w:rFonts w:hint="eastAsia"/>
                <w:b/>
                <w:bCs/>
                <w:sz w:val="30"/>
                <w:szCs w:val="30"/>
              </w:rPr>
              <w:t>（三）释放生活服务消费潜力。</w:t>
            </w:r>
            <w:r>
              <w:rPr>
                <w:rFonts w:hint="eastAsia"/>
                <w:sz w:val="30"/>
                <w:szCs w:val="30"/>
              </w:rPr>
              <w:t>发展宝坻特色餐饮，持续推进“</w:t>
            </w:r>
            <w:bookmarkStart w:id="87" w:name="OLE_LINK36"/>
            <w:r>
              <w:rPr>
                <w:rFonts w:hint="eastAsia"/>
                <w:sz w:val="30"/>
                <w:szCs w:val="30"/>
              </w:rPr>
              <w:t>坻菜</w:t>
            </w:r>
            <w:bookmarkEnd w:id="87"/>
            <w:r>
              <w:rPr>
                <w:rFonts w:hint="eastAsia"/>
                <w:sz w:val="30"/>
                <w:szCs w:val="30"/>
              </w:rPr>
              <w:t>”“坻宴”宣传推介，培育名菜、名小吃、名厨、名店，培育地标特色美食品牌。大力发展街面经济，聚焦“一店一早”“一菜一修”“一老一小”，培育一批“小而美”“专而精”的特色店铺。</w:t>
            </w:r>
          </w:p>
        </w:tc>
      </w:tr>
    </w:tbl>
    <w:p w14:paraId="63892FF9">
      <w:pPr>
        <w:pStyle w:val="4"/>
        <w:spacing w:before="217" w:after="217"/>
        <w:rPr>
          <w:rFonts w:ascii="宋体" w:hAnsi="宋体"/>
        </w:rPr>
      </w:pPr>
      <w:bookmarkStart w:id="88" w:name="_Toc219068716"/>
      <w:r>
        <w:rPr>
          <w:rFonts w:hint="eastAsia" w:ascii="宋体" w:hAnsi="宋体"/>
        </w:rPr>
        <w:t xml:space="preserve">第二节 </w:t>
      </w:r>
      <w:r>
        <w:rPr>
          <w:rFonts w:hint="eastAsia" w:ascii="宋体" w:hAnsi="宋体" w:cs="Times New Roman"/>
          <w:kern w:val="0"/>
        </w:rPr>
        <w:t>积极促进投资扩量提质</w:t>
      </w:r>
      <w:bookmarkEnd w:id="88"/>
    </w:p>
    <w:p w14:paraId="0DDC151D">
      <w:pPr>
        <w:ind w:firstLine="640"/>
      </w:pPr>
      <w:r>
        <w:rPr>
          <w:rFonts w:hint="eastAsia"/>
        </w:rPr>
        <w:t>充分发挥有效投资的关键作用，着力优化政府投资结构，积极培育投资新增长点，创新投融资机制，加强全过程管理与要素保障，全面提升投资效益，全社会固定资产投资增速保持年均5%以上。</w:t>
      </w:r>
    </w:p>
    <w:p w14:paraId="351FB1BA">
      <w:pPr>
        <w:ind w:firstLine="640"/>
        <w:rPr>
          <w:rFonts w:eastAsia="楷体"/>
          <w:kern w:val="0"/>
        </w:rPr>
      </w:pPr>
      <w:bookmarkStart w:id="89" w:name="OLE_LINK40"/>
      <w:bookmarkStart w:id="90" w:name="OLE_LINK52"/>
      <w:r>
        <w:rPr>
          <w:rFonts w:hint="eastAsia" w:eastAsia="楷体"/>
          <w:kern w:val="0"/>
        </w:rPr>
        <w:t>优化政府投资结构。</w:t>
      </w:r>
      <w:r>
        <w:rPr>
          <w:rFonts w:hint="eastAsia"/>
          <w:b/>
        </w:rPr>
        <w:t>提高民生类政府投资比重，</w:t>
      </w:r>
      <w:r>
        <w:rPr>
          <w:rFonts w:cs="Segoe UI"/>
          <w:color w:val="0F1115"/>
          <w:shd w:val="clear" w:color="auto" w:fill="FFFFFF"/>
        </w:rPr>
        <w:t>政府资金更多投向教育、医疗、养老、托育、保障性住房等紧迫的民生领域，补短板、强弱项，提升公共服务的质量和可及性</w:t>
      </w:r>
      <w:r>
        <w:rPr>
          <w:rFonts w:hint="eastAsia" w:cs="Segoe UI"/>
          <w:color w:val="0F1115"/>
          <w:shd w:val="clear" w:color="auto" w:fill="FFFFFF"/>
        </w:rPr>
        <w:t>。</w:t>
      </w:r>
      <w:bookmarkStart w:id="91" w:name="OLE_LINK45"/>
      <w:bookmarkStart w:id="92" w:name="OLE_LINK48"/>
      <w:r>
        <w:rPr>
          <w:rFonts w:hint="eastAsia" w:cs="Segoe UI"/>
          <w:b/>
          <w:color w:val="0F1115"/>
          <w:shd w:val="clear" w:color="auto" w:fill="FFFFFF"/>
        </w:rPr>
        <w:t>优化</w:t>
      </w:r>
      <w:r>
        <w:rPr>
          <w:rFonts w:hint="eastAsia"/>
          <w:b/>
        </w:rPr>
        <w:t>基础设施投资，</w:t>
      </w:r>
      <w:r>
        <w:rPr>
          <w:rFonts w:cs="Segoe UI"/>
          <w:color w:val="0F1115"/>
          <w:shd w:val="clear" w:color="auto" w:fill="FFFFFF"/>
        </w:rPr>
        <w:t>通过优化投资方向与模式，最大限度发挥政府投资的撬动作用，深入实施城市更新行动和老旧小区改造，稳步推进能源保障、路网改造建设，确保形成高质量、有效益的优质资产。</w:t>
      </w:r>
      <w:r>
        <w:rPr>
          <w:rFonts w:cs="Segoe UI"/>
          <w:b/>
          <w:color w:val="0F1115"/>
          <w:shd w:val="clear" w:color="auto" w:fill="FFFFFF"/>
        </w:rPr>
        <w:t>有效扩大产业投资，</w:t>
      </w:r>
      <w:r>
        <w:rPr>
          <w:rFonts w:hint="eastAsia"/>
        </w:rPr>
        <w:t>聚焦重点产业链群及新兴产业、未来产业，实施一批打基础、强功能、利长远、优布局的制造业项目，</w:t>
      </w:r>
      <w:r>
        <w:t>逐步释放投资活力，带动经济快速增长。</w:t>
      </w:r>
    </w:p>
    <w:bookmarkEnd w:id="89"/>
    <w:bookmarkEnd w:id="91"/>
    <w:bookmarkEnd w:id="92"/>
    <w:p w14:paraId="020DBA08">
      <w:pPr>
        <w:ind w:firstLine="640"/>
      </w:pPr>
      <w:r>
        <w:rPr>
          <w:rFonts w:hint="eastAsia" w:eastAsia="楷体"/>
          <w:kern w:val="0"/>
        </w:rPr>
        <w:t>培育拓展投资增量。</w:t>
      </w:r>
      <w:r>
        <w:rPr>
          <w:rFonts w:hint="eastAsia"/>
        </w:rPr>
        <w:t>坚持“确有所需、确能支撑、确实可行”的原则，积极争取国家政策性资金支持，集中谋划储备重大基础设施建设项目，扩大储备库、谋划库规模。完善民营企业参与重大项目建设长效机制，助力民营企业成长，激发民间投资活力，提高民间投资比重，增强市场主导的有效投资增长动力。打通社会资本进入实体经济的通道，聚焦民生短板、新基建、绿色能源等领域，为重大项目引入“活水”。</w:t>
      </w:r>
    </w:p>
    <w:p w14:paraId="4262C9E7">
      <w:pPr>
        <w:ind w:firstLine="640"/>
      </w:pPr>
      <w:r>
        <w:rPr>
          <w:rFonts w:hint="eastAsia" w:eastAsia="楷体"/>
          <w:kern w:val="0"/>
        </w:rPr>
        <w:t>着力提高投资效益。</w:t>
      </w:r>
      <w:r>
        <w:rPr>
          <w:rFonts w:hint="eastAsia"/>
          <w:b/>
        </w:rPr>
        <w:t>统筹用好各类政府投资，</w:t>
      </w:r>
      <w:r>
        <w:rPr>
          <w:rFonts w:hint="eastAsia"/>
        </w:rPr>
        <w:t>加强政府投资全过程管理，进一步明确投资方向和重点，深化投资咨询论证，完善政府投资项目管理，加强“两新”“两重”、中央预算内投资、地方政府专项债券等政策资金支持，</w:t>
      </w:r>
      <w:r>
        <w:t>严格筛选具有一定收益的公益性项目，确保专项债券还本付息资金来源，保障</w:t>
      </w:r>
      <w:r>
        <w:rPr>
          <w:rFonts w:hint="eastAsia"/>
        </w:rPr>
        <w:t>项目收益与融资自求平衡</w:t>
      </w:r>
      <w:r>
        <w:t>。</w:t>
      </w:r>
      <w:r>
        <w:rPr>
          <w:b/>
        </w:rPr>
        <w:t>创新投融资机制，</w:t>
      </w:r>
      <w:r>
        <w:t>推广</w:t>
      </w:r>
      <w:r>
        <w:rPr>
          <w:rFonts w:cs="Times New Roman"/>
          <w:szCs w:val="32"/>
        </w:rPr>
        <w:t>基础设施领域不动产投资信托基金</w:t>
      </w:r>
      <w:r>
        <w:rPr>
          <w:rFonts w:hint="eastAsia" w:cs="Times New Roman"/>
          <w:szCs w:val="32"/>
        </w:rPr>
        <w:t>（</w:t>
      </w:r>
      <w:r>
        <w:rPr>
          <w:rFonts w:cs="Times New Roman"/>
        </w:rPr>
        <w:t>REITs</w:t>
      </w:r>
      <w:r>
        <w:rPr>
          <w:rFonts w:hint="eastAsia" w:cs="Times New Roman"/>
          <w:szCs w:val="32"/>
        </w:rPr>
        <w:t>）</w:t>
      </w:r>
      <w:r>
        <w:t>盘活存量资产，探索</w:t>
      </w:r>
      <w:r>
        <w:rPr>
          <w:rFonts w:hint="eastAsia"/>
        </w:rPr>
        <w:t>以</w:t>
      </w:r>
      <w:r>
        <w:t>“社会资本+专项债”组合模式投资新基建</w:t>
      </w:r>
      <w:r>
        <w:rPr>
          <w:rFonts w:hint="eastAsia"/>
        </w:rPr>
        <w:t>。发挥政府投资基金的引导和撬动作用，</w:t>
      </w:r>
      <w:r>
        <w:t>通过参股子基金的方式，吸引投资管理机构和社会资本共同设立专注于特定领域的子基金，坚持</w:t>
      </w:r>
      <w:r>
        <w:rPr>
          <w:rFonts w:hint="eastAsia"/>
        </w:rPr>
        <w:t>市场化运作，规范与</w:t>
      </w:r>
      <w:r>
        <w:t>社会资本的</w:t>
      </w:r>
      <w:r>
        <w:rPr>
          <w:rFonts w:hint="eastAsia"/>
        </w:rPr>
        <w:t>合作</w:t>
      </w:r>
      <w:r>
        <w:t>机制。</w:t>
      </w:r>
      <w:r>
        <w:rPr>
          <w:rFonts w:hint="eastAsia"/>
          <w:b/>
        </w:rPr>
        <w:t>强化投资要素保障，</w:t>
      </w:r>
      <w:r>
        <w:t>落实</w:t>
      </w:r>
      <w:r>
        <w:rPr>
          <w:rFonts w:hint="eastAsia"/>
        </w:rPr>
        <w:t>土地保障，实现“地等项目”“优地好用”，依法依规</w:t>
      </w:r>
      <w:r>
        <w:t>压缩用地审批时间</w:t>
      </w:r>
      <w:r>
        <w:rPr>
          <w:rFonts w:hint="eastAsia"/>
        </w:rPr>
        <w:t>。</w:t>
      </w:r>
      <w:r>
        <w:t>加强审批改革，提升要素流通效率，</w:t>
      </w:r>
      <w:r>
        <w:rPr>
          <w:rFonts w:hint="eastAsia"/>
        </w:rPr>
        <w:t>建强要素服务链条。</w:t>
      </w:r>
      <w:bookmarkEnd w:id="90"/>
    </w:p>
    <w:p w14:paraId="7D5442B1">
      <w:pPr>
        <w:pStyle w:val="4"/>
        <w:spacing w:before="217" w:after="217"/>
        <w:rPr>
          <w:rFonts w:ascii="宋体" w:hAnsi="宋体"/>
        </w:rPr>
      </w:pPr>
      <w:bookmarkStart w:id="93" w:name="_Toc219068717"/>
      <w:r>
        <w:rPr>
          <w:rFonts w:hint="eastAsia" w:ascii="宋体" w:hAnsi="宋体"/>
        </w:rPr>
        <w:t xml:space="preserve">第三节 </w:t>
      </w:r>
      <w:r>
        <w:rPr>
          <w:rFonts w:hint="eastAsia" w:ascii="宋体" w:hAnsi="宋体" w:cs="Times New Roman"/>
          <w:kern w:val="0"/>
        </w:rPr>
        <w:t>扎实提升对外开放水平</w:t>
      </w:r>
      <w:bookmarkEnd w:id="93"/>
    </w:p>
    <w:p w14:paraId="47ECC771">
      <w:pPr>
        <w:ind w:firstLine="640"/>
      </w:pPr>
      <w:r>
        <w:rPr>
          <w:rFonts w:hint="eastAsia"/>
        </w:rPr>
        <w:t>树牢“宝坻之外即是对外开放”理念，以开放促发展，推动引资引智与走出去并重，优化贸易结构，构建物流通道，拓展国际合作，实现开放能级新跃升。</w:t>
      </w:r>
    </w:p>
    <w:p w14:paraId="4D31FA6F">
      <w:pPr>
        <w:ind w:firstLine="640"/>
      </w:pPr>
      <w:r>
        <w:rPr>
          <w:rFonts w:hint="eastAsia" w:eastAsia="楷体"/>
          <w:kern w:val="0"/>
        </w:rPr>
        <w:t>健全完善招商引资机制。</w:t>
      </w:r>
      <w:r>
        <w:rPr>
          <w:rFonts w:hint="eastAsia"/>
          <w:bCs/>
        </w:rPr>
        <w:t>完善“招商引资、招才引智、招会引赛”的“三招三引”机制，优化“考核共担、指标分成、税收共享”激励模式，提高招商精准度和落地率。完善对外宣传推介机制，统筹全区资源进行对外宣传推介，打响产业链供应链大会品牌，提升宝坻知名度和影响力。强化“全域招商”理念，健全区内招商引资项目流转和利益共享机制，引导各街镇、各部门、京津中关村科技城、经济开发区采取联合招商、利益分成等方式，放大招商效益。强化“链条招商”理念，聚焦构建产业链和产业集群需要，编制完善招商图谱，构建成龙配套的产业生态。强化“完整招商”理念，聚焦项目开工、建设、运营全过程，设置服务内容、流程、时限，确保签约项目高效转化为投资增量。到</w:t>
      </w:r>
      <w:r>
        <w:rPr>
          <w:bCs/>
        </w:rPr>
        <w:t>2030年，实体项目总数实现翻倍，年产业项目到位额突破150亿元。</w:t>
      </w:r>
    </w:p>
    <w:p w14:paraId="33F5A6F1">
      <w:pPr>
        <w:ind w:firstLine="640"/>
        <w:rPr>
          <w:bCs/>
        </w:rPr>
      </w:pPr>
      <w:r>
        <w:rPr>
          <w:rFonts w:hint="eastAsia" w:eastAsia="楷体"/>
          <w:kern w:val="0"/>
        </w:rPr>
        <w:t>提升对外贸易发展水平。</w:t>
      </w:r>
      <w:r>
        <w:rPr>
          <w:rFonts w:hint="eastAsia"/>
          <w:b/>
        </w:rPr>
        <w:t>实施“品牌出海”战略，</w:t>
      </w:r>
      <w:r>
        <w:rPr>
          <w:rFonts w:hint="eastAsia"/>
        </w:rPr>
        <w:t>支持区内企业开拓国际市场，提供国际认证、专利布局支持，</w:t>
      </w:r>
      <w:r>
        <w:t>推动与国际先进标准对接，鼓励企业参与制定国际标准，以高标准引领高质量出口，进一步</w:t>
      </w:r>
      <w:r>
        <w:rPr>
          <w:rFonts w:hint="eastAsia"/>
        </w:rPr>
        <w:t>提升出口产品附加值</w:t>
      </w:r>
      <w:r>
        <w:t>。</w:t>
      </w:r>
      <w:r>
        <w:rPr>
          <w:rFonts w:hint="eastAsia"/>
        </w:rPr>
        <w:t>支持区内优势企业“走出去”，</w:t>
      </w:r>
      <w:r>
        <w:rPr>
          <w:rFonts w:hint="eastAsia"/>
          <w:bCs/>
        </w:rPr>
        <w:t>一体推进对外投资和对外贸易融合发展，帮助企业“精准出海”，</w:t>
      </w:r>
      <w:r>
        <w:rPr>
          <w:rFonts w:hint="eastAsia"/>
        </w:rPr>
        <w:t>支持</w:t>
      </w:r>
      <w:r>
        <w:t>企业建设海外仓</w:t>
      </w:r>
      <w:r>
        <w:rPr>
          <w:rFonts w:hint="eastAsia"/>
        </w:rPr>
        <w:t>，</w:t>
      </w:r>
      <w:r>
        <w:t>积极培育跨境电商、市场采购贸易等新业态，扩大高附加值产品、绿色产品和服务贸易出口</w:t>
      </w:r>
      <w:r>
        <w:rPr>
          <w:rFonts w:hint="eastAsia"/>
        </w:rPr>
        <w:t>。</w:t>
      </w:r>
      <w:r>
        <w:rPr>
          <w:rFonts w:hint="eastAsia"/>
          <w:b/>
        </w:rPr>
        <w:t>探索发展服务贸易，</w:t>
      </w:r>
      <w:r>
        <w:rPr>
          <w:rFonts w:hint="eastAsia"/>
        </w:rPr>
        <w:t>整合宝坻温泉、潮白河、了凡文化等资源，开发面向国际游客的文旅产品，助力服务</w:t>
      </w:r>
      <w:r>
        <w:t>贸易升级。</w:t>
      </w:r>
      <w:r>
        <w:rPr>
          <w:rFonts w:hint="eastAsia"/>
          <w:b/>
          <w:bCs/>
        </w:rPr>
        <w:t>大力发展数字贸易，</w:t>
      </w:r>
      <w:r>
        <w:rPr>
          <w:rFonts w:hint="eastAsia"/>
          <w:bCs/>
        </w:rPr>
        <w:t>建立</w:t>
      </w:r>
      <w:r>
        <w:rPr>
          <w:bCs/>
        </w:rPr>
        <w:t>数据跨境模式，探索数据跨境安全有序流动的实现路径</w:t>
      </w:r>
      <w:r>
        <w:rPr>
          <w:rFonts w:hint="eastAsia"/>
          <w:bCs/>
        </w:rPr>
        <w:t>，</w:t>
      </w:r>
      <w:r>
        <w:rPr>
          <w:bCs/>
        </w:rPr>
        <w:t>引入平台、物流、支付、培训等服务机构，为企业提供一站式服务，打造跨境电商聚集地。</w:t>
      </w:r>
    </w:p>
    <w:p w14:paraId="3C23B3EA">
      <w:pPr>
        <w:ind w:firstLine="640"/>
        <w:rPr>
          <w:bCs/>
        </w:rPr>
      </w:pPr>
      <w:r>
        <w:rPr>
          <w:rFonts w:hint="eastAsia" w:eastAsia="楷体"/>
          <w:kern w:val="0"/>
        </w:rPr>
        <w:t>积极参与国际组织合作。</w:t>
      </w:r>
      <w:r>
        <w:rPr>
          <w:rFonts w:hint="eastAsia"/>
          <w:bCs/>
        </w:rPr>
        <w:t>通过与国际国内顶尖组织建立制度化、常态化的合作关系，引入高端资源、对接国际规则、提升城市品牌、驱动产业创新，使宝坻成为京津冀世界级城市群中充满活力的开放新高地。参与共建“一带一路”，</w:t>
      </w:r>
      <w:r>
        <w:rPr>
          <w:bCs/>
        </w:rPr>
        <w:t>用好上海合作组织峰会成果，积极争取与上合组织国家市场间优势互补、协同联动，拓展交流合作领域。</w:t>
      </w:r>
      <w:r>
        <w:rPr>
          <w:rFonts w:hint="eastAsia"/>
          <w:bCs/>
        </w:rPr>
        <w:t>深化宝港澳交流合作，办好宝坻香港日等品牌活动。</w:t>
      </w:r>
    </w:p>
    <w:p w14:paraId="32F5A0E5">
      <w:pPr>
        <w:ind w:firstLine="640"/>
      </w:pPr>
      <w:r>
        <w:br w:type="page"/>
      </w:r>
    </w:p>
    <w:p w14:paraId="1126F447">
      <w:pPr>
        <w:pStyle w:val="2"/>
        <w:spacing w:after="435"/>
        <w:rPr>
          <w:rStyle w:val="24"/>
          <w:rFonts w:ascii="宋体" w:hAnsi="宋体" w:cs="方正小标宋简体"/>
          <w:b w:val="0"/>
          <w:bCs w:val="0"/>
        </w:rPr>
      </w:pPr>
      <w:bookmarkStart w:id="94" w:name="_Toc212560069"/>
      <w:bookmarkStart w:id="95" w:name="_Toc219068718"/>
      <w:bookmarkStart w:id="96" w:name="_Hlk212314587"/>
      <w:r>
        <w:rPr>
          <w:rStyle w:val="24"/>
          <w:rFonts w:hint="eastAsia" w:ascii="宋体" w:hAnsi="宋体" w:cs="方正小标宋简体"/>
          <w:b w:val="0"/>
        </w:rPr>
        <w:t>第三篇</w:t>
      </w:r>
      <w:r>
        <w:rPr>
          <w:rStyle w:val="24"/>
          <w:rFonts w:ascii="宋体" w:hAnsi="宋体" w:cs="方正小标宋简体"/>
          <w:b w:val="0"/>
        </w:rPr>
        <w:t xml:space="preserve">  </w:t>
      </w:r>
      <w:bookmarkEnd w:id="94"/>
      <w:r>
        <w:rPr>
          <w:rStyle w:val="24"/>
          <w:rFonts w:hint="eastAsia" w:ascii="宋体" w:hAnsi="宋体" w:cs="方正小标宋简体"/>
          <w:b w:val="0"/>
        </w:rPr>
        <w:t>以科技创新引领新质生产力发展，加快构建现代化产业体系，巩固壮大实体经济根基，加快布局未来产业，打造京津冀地区乃至全国的“创新高地”</w:t>
      </w:r>
      <w:bookmarkEnd w:id="95"/>
    </w:p>
    <w:bookmarkEnd w:id="96"/>
    <w:p w14:paraId="64462F4F">
      <w:pPr>
        <w:pStyle w:val="3"/>
        <w:spacing w:before="435" w:after="435"/>
        <w:rPr>
          <w:rFonts w:ascii="宋体" w:hAnsi="宋体"/>
        </w:rPr>
      </w:pPr>
      <w:bookmarkStart w:id="97" w:name="_Toc215679944"/>
      <w:bookmarkStart w:id="98" w:name="_Toc212560074"/>
      <w:bookmarkStart w:id="99" w:name="_Toc219068719"/>
      <w:r>
        <w:rPr>
          <w:rFonts w:hint="eastAsia" w:ascii="宋体" w:hAnsi="宋体"/>
        </w:rPr>
        <w:t>第六章</w:t>
      </w:r>
      <w:r>
        <w:rPr>
          <w:rFonts w:ascii="宋体" w:hAnsi="宋体"/>
        </w:rPr>
        <w:t xml:space="preserve">  </w:t>
      </w:r>
      <w:bookmarkStart w:id="100" w:name="OLE_LINK41"/>
      <w:r>
        <w:rPr>
          <w:rFonts w:ascii="宋体" w:hAnsi="宋体"/>
        </w:rPr>
        <w:t>大力推进科技创新，塑造高质量发展新动能</w:t>
      </w:r>
      <w:bookmarkEnd w:id="97"/>
      <w:bookmarkEnd w:id="98"/>
      <w:bookmarkEnd w:id="99"/>
      <w:bookmarkEnd w:id="100"/>
    </w:p>
    <w:p w14:paraId="11C8B601">
      <w:pPr>
        <w:ind w:firstLine="640"/>
      </w:pPr>
      <w:bookmarkStart w:id="101" w:name="OLE_LINK117"/>
      <w:r>
        <w:rPr>
          <w:rFonts w:hint="eastAsia"/>
        </w:rPr>
        <w:t>以“科技成果转化提升工程”为引领，全面增强创新成果转化能力，抢占科技发展制高点。统筹教育强区、科技强区、人才强区建设，完善创新体系，优化创新生态，厚植创新能力，推动科技创新和产业创新深入融合，因地制宜发展新质生产力，将宝坻打造成为京津冀具有重要影响力的创新型城区和京津冀协同创新重要节点。</w:t>
      </w:r>
    </w:p>
    <w:bookmarkEnd w:id="101"/>
    <w:p w14:paraId="4D7A2891">
      <w:pPr>
        <w:pStyle w:val="4"/>
        <w:spacing w:before="217" w:after="217"/>
        <w:rPr>
          <w:rFonts w:ascii="宋体" w:hAnsi="宋体"/>
        </w:rPr>
      </w:pPr>
      <w:bookmarkStart w:id="102" w:name="_Toc212560075"/>
      <w:bookmarkStart w:id="103" w:name="_Toc215679945"/>
      <w:bookmarkStart w:id="104" w:name="_Toc219068720"/>
      <w:r>
        <w:rPr>
          <w:rFonts w:hint="eastAsia" w:ascii="宋体" w:hAnsi="宋体"/>
        </w:rPr>
        <w:t xml:space="preserve">第一节 </w:t>
      </w:r>
      <w:bookmarkStart w:id="105" w:name="OLE_LINK42"/>
      <w:r>
        <w:rPr>
          <w:rFonts w:hint="eastAsia" w:ascii="宋体" w:hAnsi="宋体"/>
        </w:rPr>
        <w:t>提升平台载体产出能级</w:t>
      </w:r>
      <w:bookmarkEnd w:id="102"/>
      <w:bookmarkEnd w:id="103"/>
      <w:bookmarkEnd w:id="104"/>
      <w:bookmarkEnd w:id="105"/>
    </w:p>
    <w:p w14:paraId="32C69163">
      <w:pPr>
        <w:ind w:firstLine="640"/>
      </w:pPr>
      <w:r>
        <w:t>聚焦</w:t>
      </w:r>
      <w:r>
        <w:rPr>
          <w:rFonts w:hint="eastAsia"/>
        </w:rPr>
        <w:t>优化载体平台建设、鼓励关键技术攻关</w:t>
      </w:r>
      <w:r>
        <w:t>，</w:t>
      </w:r>
      <w:r>
        <w:rPr>
          <w:rFonts w:hint="eastAsia"/>
        </w:rPr>
        <w:t>提升平台载体产业能级，发挥京津中关村科技城作为推动形成新质生产力的主要平台关键作用，引领带动全区新质生产力聚集发展，</w:t>
      </w:r>
      <w:r>
        <w:rPr>
          <w:rFonts w:hint="eastAsia" w:cs="Times New Roman"/>
        </w:rPr>
        <w:t>瞄准产业链“卡脖子”环节，鼓励企业开展关键技术攻关，提升区域产业创新能力。</w:t>
      </w:r>
    </w:p>
    <w:p w14:paraId="17BDE56C">
      <w:pPr>
        <w:ind w:firstLine="640"/>
        <w:rPr>
          <w:rFonts w:cs="Times New Roman"/>
        </w:rPr>
      </w:pPr>
      <w:bookmarkStart w:id="106" w:name="OLE_LINK43"/>
      <w:r>
        <w:rPr>
          <w:rFonts w:hint="eastAsia" w:eastAsia="楷体" w:cs="楷体"/>
          <w:bCs/>
        </w:rPr>
        <w:t>优化载体平台建设。</w:t>
      </w:r>
      <w:r>
        <w:rPr>
          <w:rFonts w:hint="eastAsia" w:cs="Times New Roman"/>
        </w:rPr>
        <w:t>加强规划布局和动态管理，构建结构合理、功能互补的科技创新平台体系。以京津中关村科技城为核心，加快推动关键核心平台建设，发挥企业创新主体作用，打造创新平台载体，充分链接高校、科研机构及企业资源，开展产学研合作，提升宝坻平台载体产出能级。</w:t>
      </w:r>
      <w:r>
        <w:rPr>
          <w:rFonts w:hint="eastAsia" w:cs="Times New Roman"/>
          <w:b/>
          <w:bCs/>
        </w:rPr>
        <w:t>推动关键核心平台建设，</w:t>
      </w:r>
      <w:r>
        <w:rPr>
          <w:rFonts w:hint="eastAsia" w:cs="Times New Roman"/>
        </w:rPr>
        <w:t>以京津中关村科技城为主要载体，打造跨区域产业协同与关键技术攻关的核心策源平台，深化与全国一流高校合作，“十五五”期间，新增研发机构不少于5家。积极申报国家、市级重点实验室，加大科研院所资源引育，推动院士工作站建设，支持博士后工作平台建设，争取高端研究新业务新机构在宝坻布局，推动设立产业研究院及研发中心。以农高区建设为依托，精准引育优质平台资源，构建覆盖从技术研发到产业应用的全链条服务体系。</w:t>
      </w:r>
      <w:r>
        <w:rPr>
          <w:rFonts w:hint="eastAsia" w:cs="Times New Roman"/>
          <w:b/>
          <w:bCs/>
        </w:rPr>
        <w:t>加强企业创新平台建设，</w:t>
      </w:r>
      <w:r>
        <w:rPr>
          <w:rFonts w:hint="eastAsia" w:cs="Times New Roman"/>
        </w:rPr>
        <w:t>鼓励行业龙头企业联合产业链上下游企业、高校院所组建创新联合体，着力破解制约产业发展的关键技术瓶颈与共性技术难题，到</w:t>
      </w:r>
      <w:r>
        <w:rPr>
          <w:rFonts w:cs="Times New Roman"/>
        </w:rPr>
        <w:t>2030</w:t>
      </w:r>
      <w:r>
        <w:rPr>
          <w:rFonts w:hint="eastAsia" w:cs="Times New Roman"/>
        </w:rPr>
        <w:t>年，创新联合体数量不少于</w:t>
      </w:r>
      <w:r>
        <w:rPr>
          <w:rFonts w:cs="Times New Roman"/>
        </w:rPr>
        <w:t>10</w:t>
      </w:r>
      <w:r>
        <w:rPr>
          <w:rFonts w:hint="eastAsia" w:cs="Times New Roman"/>
        </w:rPr>
        <w:t>个。支持企业通过平台共建、研发合作、成果共享等方式融入全国重点实验室、海河实验室等建设。推动企业申报工程技术中心、企业技术中心等，开展重大技术研究与行业标准制定，为产业升级提供成熟配套的技术、工艺与装备支撑，“十五五”期间，推荐15家企业申报市级企业技术中心。</w:t>
      </w:r>
    </w:p>
    <w:p w14:paraId="08B6C419">
      <w:pPr>
        <w:ind w:firstLine="640"/>
        <w:rPr>
          <w:rFonts w:cs="Times New Roman"/>
        </w:rPr>
      </w:pPr>
      <w:r>
        <w:rPr>
          <w:rFonts w:hint="eastAsia" w:eastAsia="楷体" w:cs="楷体"/>
          <w:bCs/>
        </w:rPr>
        <w:t>鼓励关键技术攻关。</w:t>
      </w:r>
      <w:bookmarkStart w:id="107" w:name="OLE_LINK70"/>
      <w:r>
        <w:rPr>
          <w:rFonts w:hint="eastAsia" w:cs="Times New Roman"/>
        </w:rPr>
        <w:t>加大科技创新支持力度，瞄准产业链“卡脖子”环节，鼓励企业设立内部研发中心，开展关键技术攻关，</w:t>
      </w:r>
      <w:bookmarkEnd w:id="107"/>
      <w:r>
        <w:rPr>
          <w:rFonts w:hint="eastAsia" w:cs="Times New Roman"/>
        </w:rPr>
        <w:t>承担国家、市级重大科技任务，产出一批标志性原创成果。</w:t>
      </w:r>
      <w:r>
        <w:rPr>
          <w:rFonts w:hint="eastAsia" w:cs="Times New Roman"/>
          <w:b/>
          <w:bCs/>
        </w:rPr>
        <w:t>明确主攻方向，</w:t>
      </w:r>
      <w:r>
        <w:rPr>
          <w:rFonts w:hint="eastAsia" w:cs="Times New Roman"/>
        </w:rPr>
        <w:t>人工智能领域，主攻智能算法优化、行业场景适配等关键技术，驱动数字经济与实体经济深度融合；新能源领域，聚焦高效储能材料、绿色低碳能源装备、高性能功能材料等研发，支撑产业绿色低碳转型；低空经济领域，突破低空飞行智能感知、核心零部件制造、检验检测等技术，抢占低空经济产业发展先机；农业领域，开展良种培育、智慧农业装备、农产品精深加工与保鲜等技术攻关，夯实农业现代化产业基础。“十五五”期间，攻克关键技术</w:t>
      </w:r>
      <w:r>
        <w:rPr>
          <w:rFonts w:cs="Times New Roman"/>
        </w:rPr>
        <w:t>10</w:t>
      </w:r>
      <w:r>
        <w:rPr>
          <w:rFonts w:hint="eastAsia" w:cs="Times New Roman"/>
        </w:rPr>
        <w:t>项。</w:t>
      </w:r>
      <w:bookmarkEnd w:id="106"/>
      <w:r>
        <w:rPr>
          <w:rFonts w:hint="eastAsia" w:cs="Times New Roman"/>
          <w:b/>
          <w:bCs/>
        </w:rPr>
        <w:t>优化攻关生态，</w:t>
      </w:r>
      <w:r>
        <w:rPr>
          <w:rFonts w:hint="eastAsia" w:cs="Times New Roman"/>
        </w:rPr>
        <w:t>加强财政对技术开发的稳定投入，同时撬动社会资本多元参与，吸引创投机构、龙头企业资金参与，形成财政资金引导、社会资本跟进、企业投入为主的多元投入模式。</w:t>
      </w:r>
    </w:p>
    <w:p w14:paraId="7769CFB6">
      <w:pPr>
        <w:pStyle w:val="4"/>
        <w:spacing w:before="217" w:after="217"/>
        <w:rPr>
          <w:rFonts w:ascii="宋体" w:hAnsi="宋体"/>
        </w:rPr>
      </w:pPr>
      <w:bookmarkStart w:id="108" w:name="_Toc212560076"/>
      <w:bookmarkStart w:id="109" w:name="_Toc215679946"/>
      <w:bookmarkStart w:id="110" w:name="_Toc219068721"/>
      <w:r>
        <w:rPr>
          <w:rFonts w:hint="eastAsia" w:ascii="宋体" w:hAnsi="宋体"/>
        </w:rPr>
        <w:t xml:space="preserve">第二节 </w:t>
      </w:r>
      <w:bookmarkStart w:id="111" w:name="OLE_LINK46"/>
      <w:r>
        <w:rPr>
          <w:rFonts w:hint="eastAsia" w:ascii="宋体" w:hAnsi="宋体"/>
        </w:rPr>
        <w:t>推动科技创新和产业创新融合</w:t>
      </w:r>
      <w:bookmarkEnd w:id="108"/>
      <w:bookmarkEnd w:id="109"/>
      <w:bookmarkEnd w:id="110"/>
      <w:bookmarkEnd w:id="111"/>
    </w:p>
    <w:p w14:paraId="21461703">
      <w:pPr>
        <w:ind w:firstLine="640"/>
        <w:rPr>
          <w:rFonts w:cs="Times New Roman"/>
        </w:rPr>
      </w:pPr>
      <w:r>
        <w:rPr>
          <w:rFonts w:hint="eastAsia" w:cs="Times New Roman"/>
        </w:rPr>
        <w:t>进一步夯实企业创新主体地位，大力培育高新技术企业，</w:t>
      </w:r>
      <w:r>
        <w:rPr>
          <w:rFonts w:hint="eastAsia"/>
        </w:rPr>
        <w:t>激发企业内生创新动力，</w:t>
      </w:r>
      <w:r>
        <w:rPr>
          <w:rFonts w:hint="eastAsia" w:cs="Times New Roman"/>
        </w:rPr>
        <w:t>强化企业创新意识，鼓励企业</w:t>
      </w:r>
      <w:r>
        <w:rPr>
          <w:rFonts w:hint="eastAsia"/>
        </w:rPr>
        <w:t>加大科技研发投入，全面提升区域创新体系的整体效能。</w:t>
      </w:r>
    </w:p>
    <w:p w14:paraId="0EDB57E3">
      <w:pPr>
        <w:ind w:firstLine="640"/>
      </w:pPr>
      <w:bookmarkStart w:id="112" w:name="OLE_LINK47"/>
      <w:r>
        <w:rPr>
          <w:rFonts w:hint="eastAsia" w:eastAsia="楷体" w:cs="楷体"/>
          <w:bCs/>
        </w:rPr>
        <w:t>强化企业创新主体地位。</w:t>
      </w:r>
      <w:r>
        <w:rPr>
          <w:rFonts w:hint="eastAsia"/>
        </w:rPr>
        <w:t>构建完善“国家科技型中小企业</w:t>
      </w:r>
      <w:r>
        <w:t>—</w:t>
      </w:r>
      <w:r>
        <w:rPr>
          <w:rFonts w:hint="eastAsia"/>
        </w:rPr>
        <w:t>国家高新技术企业</w:t>
      </w:r>
      <w:r>
        <w:t>—</w:t>
      </w:r>
      <w:r>
        <w:rPr>
          <w:rFonts w:hint="eastAsia"/>
        </w:rPr>
        <w:t>猎豹企业</w:t>
      </w:r>
      <w:r>
        <w:t>—</w:t>
      </w:r>
      <w:r>
        <w:rPr>
          <w:rFonts w:hint="eastAsia"/>
        </w:rPr>
        <w:t>领军企业”全周期培育体系，培育壮大单项冠军企业和专精特新企业，壮大专精特新“种子库”，全力支持高新技术企业和科技型中小企业发展，用好火炬统计监测，落实研发费用加计扣除、高新技术企业所得税减免等普惠性政策，推动更多创新型企业升规纳统，引导高新技术企业发展由“量”的增长转向“质”的提升，到2030年，猎豹企业达到13家。</w:t>
      </w:r>
    </w:p>
    <w:p w14:paraId="325130C7">
      <w:pPr>
        <w:ind w:firstLine="640"/>
      </w:pPr>
      <w:bookmarkStart w:id="113" w:name="OLE_LINK71"/>
      <w:r>
        <w:rPr>
          <w:rFonts w:hint="eastAsia" w:eastAsia="楷体" w:cs="楷体"/>
          <w:bCs/>
        </w:rPr>
        <w:t>强化企业创新意识</w:t>
      </w:r>
      <w:bookmarkEnd w:id="113"/>
      <w:r>
        <w:rPr>
          <w:rFonts w:hint="eastAsia" w:eastAsia="楷体" w:cs="楷体"/>
          <w:bCs/>
        </w:rPr>
        <w:t>。</w:t>
      </w:r>
      <w:r>
        <w:rPr>
          <w:rFonts w:hint="eastAsia"/>
          <w:b/>
          <w:bCs/>
        </w:rPr>
        <w:t>加大企业研发投入力度。</w:t>
      </w:r>
      <w:r>
        <w:rPr>
          <w:rFonts w:hint="eastAsia"/>
        </w:rPr>
        <w:t>引导区内重点企业向中小企业开放创新资源，推动产业链上中下游、龙头企业和中小企业融通创新。引导企业设立研发准备金，加大科技研发投入，按照“有场地、有人员、有投入、有设备、有成果、有制度”的标准建设内部研发机构。</w:t>
      </w:r>
      <w:r>
        <w:rPr>
          <w:rFonts w:hint="eastAsia"/>
          <w:b/>
          <w:bCs/>
        </w:rPr>
        <w:t>加强研发要素保障。</w:t>
      </w:r>
      <w:r>
        <w:rPr>
          <w:rFonts w:hint="eastAsia"/>
        </w:rPr>
        <w:t>完善岗位分红、收益分红等激励政策，鼓励企业推动科技成果转化；鼓励承担市级科技计划项目的企业投入配套资金，引导企业以更多自有资金开展科技创新。</w:t>
      </w:r>
      <w:bookmarkEnd w:id="112"/>
    </w:p>
    <w:p w14:paraId="1FF08567">
      <w:pPr>
        <w:pStyle w:val="4"/>
        <w:spacing w:before="217" w:after="217"/>
        <w:rPr>
          <w:rFonts w:ascii="宋体" w:hAnsi="宋体"/>
        </w:rPr>
      </w:pPr>
      <w:bookmarkStart w:id="114" w:name="_Toc219068722"/>
      <w:bookmarkStart w:id="115" w:name="_Toc215679947"/>
      <w:bookmarkStart w:id="116" w:name="_Toc212560077"/>
      <w:r>
        <w:rPr>
          <w:rFonts w:hint="eastAsia" w:ascii="宋体" w:hAnsi="宋体"/>
        </w:rPr>
        <w:t>第三节</w:t>
      </w:r>
      <w:bookmarkStart w:id="117" w:name="OLE_LINK49"/>
      <w:r>
        <w:rPr>
          <w:rFonts w:hint="eastAsia" w:ascii="宋体" w:hAnsi="宋体"/>
        </w:rPr>
        <w:t xml:space="preserve"> 加速科技成果转化</w:t>
      </w:r>
      <w:bookmarkEnd w:id="114"/>
      <w:bookmarkEnd w:id="115"/>
      <w:bookmarkEnd w:id="116"/>
      <w:bookmarkEnd w:id="117"/>
    </w:p>
    <w:p w14:paraId="1D4A9DDC">
      <w:pPr>
        <w:ind w:firstLine="640"/>
      </w:pPr>
      <w:r>
        <w:rPr>
          <w:rFonts w:hint="eastAsia"/>
        </w:rPr>
        <w:t>深化“京津研发、区域转化”模式，通过常态化开展产学研对接活动、推广“先使用后付费”模式、打造科技创新攻关赛品牌等系列举措，进一步畅通成果转化通道，推动创新资源高效配置，构建需求导向、高效协同的转化体系，全面提升科技成果区域转化效率和产业支撑能力。</w:t>
      </w:r>
    </w:p>
    <w:p w14:paraId="17811921">
      <w:pPr>
        <w:adjustRightInd w:val="0"/>
        <w:snapToGrid w:val="0"/>
        <w:ind w:firstLine="640"/>
      </w:pPr>
      <w:bookmarkStart w:id="118" w:name="OLE_LINK50"/>
      <w:r>
        <w:rPr>
          <w:rFonts w:hint="eastAsia" w:eastAsia="楷体" w:cs="楷体"/>
          <w:bCs/>
        </w:rPr>
        <w:t>畅通成果转化通道。</w:t>
      </w:r>
      <w:r>
        <w:rPr>
          <w:rFonts w:hint="eastAsia"/>
        </w:rPr>
        <w:t>推动更多原创成果、高价值项目落地转化，提高对京津冀技术成果的转化服务能力，将京津中关村科技城打造成为京津科技成果转化的“首选地”和“中转站”。</w:t>
      </w:r>
      <w:r>
        <w:rPr>
          <w:rFonts w:hint="eastAsia"/>
          <w:b/>
          <w:bCs/>
        </w:rPr>
        <w:t>鼓励开展</w:t>
      </w:r>
      <w:r>
        <w:rPr>
          <w:rFonts w:hint="eastAsia" w:cs="Times New Roman"/>
          <w:b/>
          <w:bCs/>
        </w:rPr>
        <w:t>产学研合作</w:t>
      </w:r>
      <w:bookmarkStart w:id="119" w:name="OLE_LINK73"/>
      <w:r>
        <w:rPr>
          <w:rFonts w:hint="eastAsia" w:cs="Times New Roman"/>
          <w:b/>
          <w:bCs/>
        </w:rPr>
        <w:t>，</w:t>
      </w:r>
      <w:r>
        <w:rPr>
          <w:rFonts w:hint="eastAsia" w:cs="仿宋_GB2312"/>
          <w:szCs w:val="32"/>
        </w:rPr>
        <w:t>加速链接北京、天津高校创新资源，推动来宝设立产业研究院及研发中心。围绕区域重点产业和新兴赛道，常态化开展产学研对接活动，定向链接高校院所、科研机构与企业需求，打通“成果供给端”与“产业需求端”的信息壁垒，促进创新资源与产业需求深度耦合。</w:t>
      </w:r>
      <w:r>
        <w:rPr>
          <w:rFonts w:hint="eastAsia"/>
          <w:b/>
          <w:bCs/>
        </w:rPr>
        <w:t>创新成果转化机制，</w:t>
      </w:r>
      <w:r>
        <w:rPr>
          <w:rFonts w:hint="eastAsia"/>
        </w:rPr>
        <w:t>推广“先使用后付费”模式</w:t>
      </w:r>
      <w:bookmarkEnd w:id="119"/>
      <w:r>
        <w:rPr>
          <w:rFonts w:hint="eastAsia"/>
        </w:rPr>
        <w:t>，降低企业技术获取前期成本与高校院所成果转化风险，激发企业承接成果、高校院所供给成果的双向积极性。打造科技创新攻关赛品牌，深化创新主体协同，设立成果转化初创类子基金，对接天津海星基金等社会资金，形成“政府+社会”资本模式，对新孵化企业、初创企业和科技成果进行投资。</w:t>
      </w:r>
      <w:bookmarkEnd w:id="118"/>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16D0E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Borders>
              <w:top w:val="single" w:color="000000" w:sz="4" w:space="0"/>
              <w:left w:val="single" w:color="000000" w:sz="4" w:space="0"/>
              <w:bottom w:val="single" w:color="000000" w:sz="4" w:space="0"/>
              <w:right w:val="single" w:color="000000" w:sz="4" w:space="0"/>
            </w:tcBorders>
          </w:tcPr>
          <w:p w14:paraId="46ECF129">
            <w:pPr>
              <w:adjustRightInd w:val="0"/>
              <w:snapToGrid w:val="0"/>
              <w:ind w:firstLine="0" w:firstLineChars="0"/>
              <w:jc w:val="center"/>
              <w:rPr>
                <w:rFonts w:cs="Times New Roman"/>
                <w:sz w:val="30"/>
                <w:szCs w:val="30"/>
              </w:rPr>
            </w:pPr>
            <w:r>
              <w:rPr>
                <w:rFonts w:hint="eastAsia" w:cs="Times New Roman"/>
                <w:b/>
                <w:sz w:val="30"/>
                <w:szCs w:val="30"/>
              </w:rPr>
              <w:t>引领工程之四 “</w:t>
            </w:r>
            <w:r>
              <w:rPr>
                <w:rFonts w:hint="eastAsia" w:cs="Times New Roman"/>
                <w:b/>
                <w:bCs/>
                <w:sz w:val="30"/>
                <w:szCs w:val="30"/>
              </w:rPr>
              <w:t>科技成果转化提升</w:t>
            </w:r>
            <w:r>
              <w:rPr>
                <w:rFonts w:hint="eastAsia" w:cs="Times New Roman"/>
                <w:b/>
                <w:sz w:val="30"/>
                <w:szCs w:val="30"/>
              </w:rPr>
              <w:t>”</w:t>
            </w:r>
            <w:r>
              <w:rPr>
                <w:rFonts w:hint="eastAsia" w:cs="Times New Roman"/>
                <w:b/>
                <w:bCs/>
                <w:sz w:val="30"/>
                <w:szCs w:val="30"/>
              </w:rPr>
              <w:t>工程</w:t>
            </w:r>
          </w:p>
        </w:tc>
      </w:tr>
      <w:tr w14:paraId="0599D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Borders>
              <w:top w:val="single" w:color="000000" w:sz="4" w:space="0"/>
              <w:left w:val="single" w:color="000000" w:sz="4" w:space="0"/>
              <w:bottom w:val="single" w:color="000000" w:sz="4" w:space="0"/>
              <w:right w:val="single" w:color="000000" w:sz="4" w:space="0"/>
            </w:tcBorders>
          </w:tcPr>
          <w:p w14:paraId="224BE2E8">
            <w:pPr>
              <w:adjustRightInd w:val="0"/>
              <w:snapToGrid w:val="0"/>
              <w:ind w:firstLine="600"/>
              <w:rPr>
                <w:rFonts w:cs="Times New Roman"/>
                <w:sz w:val="30"/>
                <w:szCs w:val="30"/>
              </w:rPr>
            </w:pPr>
            <w:r>
              <w:rPr>
                <w:rFonts w:hint="eastAsia" w:cs="Times New Roman"/>
                <w:sz w:val="30"/>
                <w:szCs w:val="30"/>
              </w:rPr>
              <w:t>以科技自立自强为战略支撑，聚焦打造中关村成果转化聚集地，</w:t>
            </w:r>
            <w:r>
              <w:rPr>
                <w:rFonts w:cs="Times New Roman"/>
                <w:sz w:val="30"/>
                <w:szCs w:val="30"/>
              </w:rPr>
              <w:t>将中关村创新链、产业链、要素链、价值链、合作链延伸至</w:t>
            </w:r>
            <w:r>
              <w:rPr>
                <w:rFonts w:hint="eastAsia" w:cs="Times New Roman"/>
                <w:sz w:val="30"/>
                <w:szCs w:val="30"/>
              </w:rPr>
              <w:t>京津中关村</w:t>
            </w:r>
            <w:r>
              <w:rPr>
                <w:rFonts w:cs="Times New Roman"/>
                <w:sz w:val="30"/>
                <w:szCs w:val="30"/>
              </w:rPr>
              <w:t>科技城，建成科技成果应用场景和产业转化基地。</w:t>
            </w:r>
          </w:p>
          <w:p w14:paraId="0B29DA93">
            <w:pPr>
              <w:adjustRightInd w:val="0"/>
              <w:snapToGrid w:val="0"/>
              <w:ind w:firstLine="602"/>
              <w:rPr>
                <w:rFonts w:cs="Times New Roman"/>
                <w:sz w:val="30"/>
                <w:szCs w:val="30"/>
              </w:rPr>
            </w:pPr>
            <w:r>
              <w:rPr>
                <w:rFonts w:hint="eastAsia" w:cs="Times New Roman"/>
                <w:b/>
                <w:bCs/>
                <w:sz w:val="30"/>
                <w:szCs w:val="30"/>
              </w:rPr>
              <w:t>（一）补齐成果转化关键环节。</w:t>
            </w:r>
            <w:r>
              <w:rPr>
                <w:rFonts w:hint="eastAsia" w:cs="Times New Roman"/>
                <w:sz w:val="30"/>
                <w:szCs w:val="30"/>
              </w:rPr>
              <w:t>聚焦打造京津科创成果中试集聚区，构建“概念验证—中试熟化—场景应用—产业落地”成果转化模式，建立概念验证中心，支持高校、科研院所等在京津中关村科技城实施概念验证、设立概念验证中心，围绕汽车零部件、新材料等重点产业链系统布局中试基地，建立和整合一批综合性和专业性中试平台。“十五五”期间，力争建设5家以上中试基地。</w:t>
            </w:r>
          </w:p>
          <w:p w14:paraId="63C2B60E">
            <w:pPr>
              <w:adjustRightInd w:val="0"/>
              <w:snapToGrid w:val="0"/>
              <w:ind w:firstLine="602"/>
              <w:rPr>
                <w:rFonts w:cs="Times New Roman"/>
                <w:sz w:val="30"/>
                <w:szCs w:val="30"/>
              </w:rPr>
            </w:pPr>
            <w:r>
              <w:rPr>
                <w:rFonts w:hint="eastAsia" w:cs="Times New Roman"/>
                <w:b/>
                <w:bCs/>
                <w:sz w:val="30"/>
                <w:szCs w:val="30"/>
              </w:rPr>
              <w:t>（二）融入京津冀成果转化体系。</w:t>
            </w:r>
            <w:r>
              <w:rPr>
                <w:rFonts w:hint="eastAsia" w:cs="Times New Roman"/>
                <w:sz w:val="30"/>
                <w:szCs w:val="30"/>
              </w:rPr>
              <w:t>探索“多校一园”“区校合建”等模式，支持京津地区重点高校在宝坻设立技术转化中心，打造工业和信息化部科技型企业孵化器。增强京津中关村科技城与北京高校、高能级实验室、高校院士团队合作能级，开展联合攻关，推动创新成果在京津中关村科技城落地转化。鼓励京津“大院大所”设立分支机构、研发平台。</w:t>
            </w:r>
          </w:p>
          <w:p w14:paraId="41CE4E07">
            <w:pPr>
              <w:adjustRightInd w:val="0"/>
              <w:snapToGrid w:val="0"/>
              <w:ind w:firstLine="602"/>
              <w:rPr>
                <w:rFonts w:cs="Times New Roman"/>
                <w:sz w:val="30"/>
                <w:szCs w:val="30"/>
              </w:rPr>
            </w:pPr>
            <w:r>
              <w:rPr>
                <w:rFonts w:hint="eastAsia" w:cs="Times New Roman"/>
                <w:b/>
                <w:bCs/>
                <w:sz w:val="30"/>
                <w:szCs w:val="30"/>
              </w:rPr>
              <w:t>（三）加强成果转化资金保障。</w:t>
            </w:r>
            <w:r>
              <w:rPr>
                <w:rFonts w:hint="eastAsia" w:cs="Times New Roman"/>
                <w:sz w:val="30"/>
                <w:szCs w:val="30"/>
              </w:rPr>
              <w:t>设立成果转化初创类子基金，构建“政府+社会”资本模式。搭建创投、租赁、担保、供应链金融等科技金融服务平台，探索建立“租赁+投资+服务”模式。用好京津冀产业交流综合金融服务平台，链接京津冀三地政府端、市场端、产业端、金融端，整合政府支持政策、企业融资需求、金融机构产品，支撑科技型企业高质量发展。</w:t>
            </w:r>
          </w:p>
          <w:p w14:paraId="3DEAC13A">
            <w:pPr>
              <w:adjustRightInd w:val="0"/>
              <w:snapToGrid w:val="0"/>
              <w:ind w:firstLine="600" w:firstLineChars="0"/>
              <w:rPr>
                <w:rFonts w:cs="Times New Roman"/>
                <w:sz w:val="30"/>
                <w:szCs w:val="30"/>
              </w:rPr>
            </w:pPr>
            <w:r>
              <w:rPr>
                <w:rFonts w:hint="eastAsia" w:cs="Times New Roman"/>
                <w:b/>
                <w:bCs/>
                <w:sz w:val="30"/>
                <w:szCs w:val="30"/>
              </w:rPr>
              <w:t>（四）健全科技成果转化服务体系。</w:t>
            </w:r>
            <w:r>
              <w:rPr>
                <w:rFonts w:hint="eastAsia" w:cs="Times New Roman"/>
                <w:sz w:val="30"/>
                <w:szCs w:val="30"/>
              </w:rPr>
              <w:t>常态化组织技术成果发布会和供需对接会，加强专业技术人才、技术经理人队伍建设，推动技术成果从“实验室”走向“生产线”，“十五五”期间，实现技术合同成交额突破60亿元。支持企业聚焦专业领域，牵头组建公共技术服务平台。探索建设共享实验室、共享专业设施，推动科技资源的共享、科技研发的协同合作。</w:t>
            </w:r>
          </w:p>
        </w:tc>
      </w:tr>
    </w:tbl>
    <w:p w14:paraId="677E4344">
      <w:pPr>
        <w:widowControl/>
        <w:spacing w:line="240" w:lineRule="auto"/>
        <w:ind w:firstLine="0" w:firstLineChars="0"/>
        <w:jc w:val="left"/>
      </w:pPr>
      <w:r>
        <w:br w:type="page"/>
      </w:r>
    </w:p>
    <w:p w14:paraId="51BF2A74">
      <w:pPr>
        <w:pStyle w:val="3"/>
        <w:spacing w:before="435" w:after="435"/>
        <w:rPr>
          <w:rFonts w:ascii="宋体" w:hAnsi="宋体"/>
        </w:rPr>
      </w:pPr>
      <w:bookmarkStart w:id="120" w:name="_Toc211000455"/>
      <w:bookmarkStart w:id="121" w:name="_Toc219068723"/>
      <w:bookmarkStart w:id="122" w:name="_Toc212560079"/>
      <w:r>
        <w:rPr>
          <w:rFonts w:hint="eastAsia" w:ascii="宋体" w:hAnsi="宋体"/>
        </w:rPr>
        <w:t xml:space="preserve">第七章  </w:t>
      </w:r>
      <w:bookmarkEnd w:id="120"/>
      <w:r>
        <w:rPr>
          <w:rFonts w:hint="eastAsia" w:ascii="宋体" w:hAnsi="宋体"/>
        </w:rPr>
        <w:t>夯实人才战略支撑，构筑创新发展新优势</w:t>
      </w:r>
      <w:bookmarkEnd w:id="121"/>
      <w:bookmarkEnd w:id="122"/>
    </w:p>
    <w:p w14:paraId="35AE0CA2">
      <w:pPr>
        <w:ind w:firstLine="640"/>
        <w:rPr>
          <w:rFonts w:cs="仿宋_GB2312"/>
          <w:szCs w:val="32"/>
        </w:rPr>
      </w:pPr>
      <w:r>
        <w:rPr>
          <w:rFonts w:hint="eastAsia" w:cs="仿宋_GB2312"/>
          <w:szCs w:val="32"/>
        </w:rPr>
        <w:t>以“人才友好型区域建设”工程为引领，锚定“城市与人才双向发展”目标，构建“引育留用”全链条人才友好生态，吸引集聚更多优秀人才来宝创新创业，打造适应新质生产力发展需求的高素质人才队伍，集中力量建设好、发展好京津中关村科技城，为全区高质量发展提供坚实人才支撑和智力保障。</w:t>
      </w:r>
    </w:p>
    <w:p w14:paraId="57B2BAE0">
      <w:pPr>
        <w:pStyle w:val="4"/>
        <w:spacing w:before="217" w:after="217"/>
        <w:rPr>
          <w:rFonts w:ascii="宋体" w:hAnsi="宋体"/>
        </w:rPr>
      </w:pPr>
      <w:bookmarkStart w:id="123" w:name="_Toc219068724"/>
      <w:bookmarkStart w:id="124" w:name="_Toc212560080"/>
      <w:r>
        <w:rPr>
          <w:rFonts w:hint="eastAsia" w:ascii="宋体" w:hAnsi="宋体"/>
        </w:rPr>
        <w:t>第一节 聚焦发展需求精准引才</w:t>
      </w:r>
      <w:bookmarkEnd w:id="123"/>
      <w:bookmarkEnd w:id="124"/>
    </w:p>
    <w:p w14:paraId="60646321">
      <w:pPr>
        <w:ind w:firstLine="640"/>
        <w:rPr>
          <w:rFonts w:cs="仿宋_GB2312"/>
          <w:szCs w:val="32"/>
        </w:rPr>
      </w:pPr>
      <w:r>
        <w:rPr>
          <w:rFonts w:hint="eastAsia" w:cs="仿宋_GB2312"/>
          <w:szCs w:val="32"/>
        </w:rPr>
        <w:t>聚焦服务产业发展，持续优化人才引进结构与布局，坚持“以产聚才、以才兴产”，推动形成产业需求导向的精准引才机制，促进人才链与产业链、创新链深度融合，实现人才供给与产业发展同频共振。</w:t>
      </w:r>
    </w:p>
    <w:p w14:paraId="7330BDF5">
      <w:pPr>
        <w:ind w:firstLine="640"/>
        <w:rPr>
          <w:rFonts w:cs="仿宋_GB2312"/>
          <w:szCs w:val="32"/>
        </w:rPr>
      </w:pPr>
      <w:r>
        <w:rPr>
          <w:rFonts w:hint="eastAsia" w:eastAsia="楷体" w:cs="楷体"/>
          <w:bCs/>
        </w:rPr>
        <w:t>科学规划引才目标。</w:t>
      </w:r>
      <w:r>
        <w:rPr>
          <w:rFonts w:hint="eastAsia" w:cs="仿宋_GB2312"/>
          <w:szCs w:val="32"/>
        </w:rPr>
        <w:t>围绕传统优势产业、战略性新兴产业及未来产业发展方向，系统分析产业链各环节人才缺口，研究制定中长期人才引进规划。建立健全产业链人才需求动态监测与发布机制，常态长效收集并分析企业人才需求信息，分类编制发布急需紧缺人才目录，主动链接行业协会、高等院校、科研院所及人力资源服务机构，推动人才引进与产业升级同步规划、同步实施。</w:t>
      </w:r>
    </w:p>
    <w:p w14:paraId="0DBEBC9A">
      <w:pPr>
        <w:ind w:firstLine="640"/>
        <w:rPr>
          <w:rFonts w:cs="仿宋_GB2312"/>
          <w:szCs w:val="32"/>
        </w:rPr>
      </w:pPr>
      <w:r>
        <w:rPr>
          <w:rFonts w:hint="eastAsia" w:eastAsia="楷体" w:cs="楷体"/>
          <w:bCs/>
        </w:rPr>
        <w:t>拓宽多元引才渠道。</w:t>
      </w:r>
      <w:r>
        <w:rPr>
          <w:rFonts w:hint="eastAsia" w:cs="仿宋_GB2312"/>
          <w:szCs w:val="32"/>
        </w:rPr>
        <w:t>深化京津冀人才一体化发展，依托“通宝唐”人才领域合作基础，推动人力资源产业协同发展，共同建设专业性和行业性人才市场。支持京津冀地区优质人力资源服务机构开展跨区域服务，加快构建与产业发展相适应的人才服务产业集群，常态化举办重点产业链线上线下招聘对接活动，构建覆盖全域、高效便捷的人才引进网络，促进区域人才资源共享和优化配置。</w:t>
      </w:r>
    </w:p>
    <w:p w14:paraId="217C1C19">
      <w:pPr>
        <w:ind w:firstLine="640"/>
        <w:rPr>
          <w:rFonts w:cs="仿宋_GB2312"/>
          <w:szCs w:val="32"/>
        </w:rPr>
      </w:pPr>
      <w:r>
        <w:rPr>
          <w:rFonts w:hint="eastAsia" w:eastAsia="楷体" w:cs="楷体"/>
          <w:bCs/>
        </w:rPr>
        <w:t>探索多元引才模式。</w:t>
      </w:r>
      <w:r>
        <w:rPr>
          <w:rFonts w:hint="eastAsia" w:cs="仿宋_GB2312"/>
          <w:szCs w:val="32"/>
        </w:rPr>
        <w:t>创新“不求所有、但求所用”的柔性引才机制，支持企业通过“科技副总”“候鸟专家”“项目合作”等方式，柔性引进高校、科研院所高层次人才担任技术管理职务，共同推动人才联合培养、科技成果转化、重大项目建设。常态化组织开展“青年人才直通车”“高校人才宝坻行”“博士生专项实践”等活动，吸引高校人才来宝交流合作、洽谈对接，带动创新资源在宝坻落地转化。聚焦产业链关键共性技术难题，发布技术需求清单，吸引外部人才智力资源参与协同创新，着力破解产业链发展技术瓶颈。</w:t>
      </w:r>
    </w:p>
    <w:p w14:paraId="5BDCC17D">
      <w:pPr>
        <w:pStyle w:val="4"/>
        <w:spacing w:before="217" w:after="217"/>
        <w:rPr>
          <w:rFonts w:ascii="宋体" w:hAnsi="宋体"/>
        </w:rPr>
      </w:pPr>
      <w:bookmarkStart w:id="125" w:name="_Toc219068725"/>
      <w:bookmarkStart w:id="126" w:name="_Toc212560081"/>
      <w:r>
        <w:rPr>
          <w:rFonts w:hint="eastAsia" w:ascii="宋体" w:hAnsi="宋体"/>
        </w:rPr>
        <w:t>第二节 整合内外资源系统育才</w:t>
      </w:r>
      <w:bookmarkEnd w:id="125"/>
      <w:bookmarkEnd w:id="126"/>
    </w:p>
    <w:p w14:paraId="725809F6">
      <w:pPr>
        <w:ind w:firstLine="640"/>
        <w:rPr>
          <w:rFonts w:cs="仿宋_GB2312"/>
          <w:szCs w:val="32"/>
        </w:rPr>
      </w:pPr>
      <w:r>
        <w:rPr>
          <w:rFonts w:hint="eastAsia" w:cs="仿宋_GB2312"/>
          <w:szCs w:val="32"/>
        </w:rPr>
        <w:t>以培育青年科技人才、技术技能人才和企业家人才为重点，整合政府、企业、院校等多方资源，实施差异化、精准化培养策略，全面提升人才自主培养能力，为产业转型升级和经济社会高质量发展提供持续人才动力。</w:t>
      </w:r>
    </w:p>
    <w:p w14:paraId="2A61CD65">
      <w:pPr>
        <w:ind w:firstLine="640"/>
        <w:rPr>
          <w:rFonts w:cs="仿宋_GB2312"/>
          <w:szCs w:val="32"/>
        </w:rPr>
      </w:pPr>
      <w:r>
        <w:rPr>
          <w:rFonts w:hint="eastAsia" w:eastAsia="楷体" w:cs="楷体"/>
          <w:bCs/>
        </w:rPr>
        <w:t>发掘培育青年科技人才。</w:t>
      </w:r>
      <w:r>
        <w:rPr>
          <w:rFonts w:hint="eastAsia" w:cs="仿宋_GB2312"/>
          <w:szCs w:val="32"/>
        </w:rPr>
        <w:t>大力发掘储备优秀青年科技人才，建立青年科技人才储备库，协助制定职业发展规划，帮助申报高层级人才项目，全力营造有利于青年科技人才潜心研究和快速成长的良好环境。鼓励高校、科研机构与企业共建研究生培养基地、联合实验室，推行“学业+创业”双导师制，提升青年科技人才创新实践能力。定期组织青年科技人才参加国内外高水平学术会议、学术论坛、科技创新攻关赛等，拓宽成长视野与发展路径。</w:t>
      </w:r>
    </w:p>
    <w:p w14:paraId="200AADAB">
      <w:pPr>
        <w:ind w:firstLine="640"/>
        <w:rPr>
          <w:rFonts w:cs="仿宋_GB2312"/>
          <w:szCs w:val="32"/>
        </w:rPr>
      </w:pPr>
      <w:r>
        <w:rPr>
          <w:rFonts w:hint="eastAsia" w:eastAsia="楷体" w:cs="楷体"/>
          <w:bCs/>
        </w:rPr>
        <w:t>系统培育本土技能人才。</w:t>
      </w:r>
      <w:r>
        <w:rPr>
          <w:rFonts w:hint="eastAsia" w:cs="仿宋_GB2312"/>
          <w:szCs w:val="32"/>
        </w:rPr>
        <w:t>探索推广“订单式”培养、现代学徒制等新型人才培养模式，推动企业深度参与职业院校专业规划、课程开发、教学实施等环节，共建实习实训基地，实现人才培养与岗位需求无缝对接。发挥链主企业引领作用，鼓励建设企业培训中心、公共实训基地，广泛开展在岗培训、岗位练兵和技能竞赛，提升在岗人员技术技能水平。深化产教融合，依托“密宝唐”“通宝香”职业教育联盟，推动培训资源共享，打造区域性职业教育品牌。</w:t>
      </w:r>
    </w:p>
    <w:p w14:paraId="28600158">
      <w:pPr>
        <w:ind w:firstLine="640"/>
        <w:rPr>
          <w:rFonts w:cs="仿宋_GB2312"/>
          <w:szCs w:val="32"/>
        </w:rPr>
      </w:pPr>
      <w:r>
        <w:rPr>
          <w:rFonts w:hint="eastAsia" w:eastAsia="楷体" w:cs="楷体"/>
          <w:bCs/>
        </w:rPr>
        <w:t>壮大企业家人才队伍。</w:t>
      </w:r>
      <w:r>
        <w:rPr>
          <w:rFonts w:hint="eastAsia" w:cs="仿宋_GB2312"/>
          <w:szCs w:val="32"/>
        </w:rPr>
        <w:t>实施企业家能力提升计划，面向重点产业领域企业家和高级管理人才，组织开展战略规划、资本运作、产业转型等专题培训，提升企业家战略思维和全球视野。依托产业链党委、商会协会等载体，搭建企业家交流平台，常态化举办企业家沙龙、发展论坛、学习考察等活动，促进企业家之间经验分享与协同合作。支持优秀企业家在政府政策制定、产业规划过程中建言献策。</w:t>
      </w:r>
    </w:p>
    <w:p w14:paraId="02E047CE">
      <w:pPr>
        <w:pStyle w:val="4"/>
        <w:spacing w:before="217" w:after="217"/>
        <w:rPr>
          <w:rFonts w:ascii="宋体" w:hAnsi="宋体"/>
        </w:rPr>
      </w:pPr>
      <w:bookmarkStart w:id="127" w:name="_Toc219068726"/>
      <w:bookmarkStart w:id="128" w:name="_Toc212560082"/>
      <w:r>
        <w:rPr>
          <w:rFonts w:hint="eastAsia" w:ascii="宋体" w:hAnsi="宋体"/>
        </w:rPr>
        <w:t>第三节 立足产业协同高效用才</w:t>
      </w:r>
      <w:bookmarkEnd w:id="127"/>
      <w:bookmarkEnd w:id="128"/>
    </w:p>
    <w:p w14:paraId="7579C95F">
      <w:pPr>
        <w:ind w:firstLine="640"/>
        <w:rPr>
          <w:rFonts w:cs="仿宋_GB2312"/>
          <w:szCs w:val="32"/>
        </w:rPr>
      </w:pPr>
      <w:r>
        <w:rPr>
          <w:rFonts w:hint="eastAsia" w:cs="仿宋_GB2312"/>
          <w:szCs w:val="32"/>
        </w:rPr>
        <w:t>推动人才发展与产业升级深度融合，搭建高能级平台载体，完善人才评价与激励机制，充分激发人才创新创造活力，提升人才贡献效能。</w:t>
      </w:r>
    </w:p>
    <w:p w14:paraId="7083C2FE">
      <w:pPr>
        <w:ind w:firstLine="640"/>
        <w:rPr>
          <w:rFonts w:cs="仿宋_GB2312"/>
          <w:szCs w:val="32"/>
        </w:rPr>
      </w:pPr>
      <w:r>
        <w:rPr>
          <w:rFonts w:hint="eastAsia" w:eastAsia="楷体" w:cs="楷体"/>
          <w:bCs/>
        </w:rPr>
        <w:t>孵化人才创业项目。</w:t>
      </w:r>
      <w:r>
        <w:rPr>
          <w:rFonts w:hint="eastAsia" w:cs="仿宋_GB2312"/>
          <w:szCs w:val="32"/>
        </w:rPr>
        <w:t>以京津中关村科技城、经济开发区为核心载体，推动构筑高水平人才高地和创新创业载体，积极培育新兴业态，提升公共服务能级，为人才创新创业提供发展空间和服务保障。加强与北京中关村等人才创新高地交流合作，推动平台共建、场景共享、资源共用，积极承接京津冀外溢人才和科技成果，促进区域人才与创新资源高效对接。</w:t>
      </w:r>
    </w:p>
    <w:p w14:paraId="669A6490">
      <w:pPr>
        <w:ind w:firstLine="640"/>
        <w:rPr>
          <w:rFonts w:cs="仿宋_GB2312"/>
          <w:szCs w:val="32"/>
        </w:rPr>
      </w:pPr>
      <w:r>
        <w:rPr>
          <w:rFonts w:hint="eastAsia" w:eastAsia="楷体" w:cs="楷体"/>
          <w:bCs/>
        </w:rPr>
        <w:t>推动产才融合创新。</w:t>
      </w:r>
      <w:r>
        <w:rPr>
          <w:rFonts w:hint="eastAsia" w:cs="仿宋_GB2312"/>
          <w:szCs w:val="32"/>
        </w:rPr>
        <w:t>鼓励企业申报建设院士专家工作站、博士后科研工作站或创新实践基地、企业技术中心、校企实验室、产业研究院等高能级创新平台，为人才赋能产业发展提供创新载体。围绕重点产业布局，加快建设人才引领、企业牵头、高校支撑、各主体协同配合的创新联合体和创新创业联盟，开展关键共性技术、前沿引领技术、现代工程技术创新。</w:t>
      </w:r>
    </w:p>
    <w:p w14:paraId="44E13C86">
      <w:pPr>
        <w:ind w:firstLine="640"/>
        <w:rPr>
          <w:rFonts w:cs="仿宋_GB2312"/>
          <w:szCs w:val="32"/>
        </w:rPr>
      </w:pPr>
      <w:r>
        <w:rPr>
          <w:rFonts w:hint="eastAsia" w:eastAsia="楷体" w:cs="楷体"/>
          <w:bCs/>
        </w:rPr>
        <w:t>完善人才评价机制。</w:t>
      </w:r>
      <w:r>
        <w:rPr>
          <w:rFonts w:hint="eastAsia" w:cs="仿宋_GB2312"/>
          <w:szCs w:val="32"/>
        </w:rPr>
        <w:t>建立以创新能力、质量效益、社会贡献为导向的人才评价体系，制定科学合理的评价标准和评价方法，支持重点企业开展职业技能等级自主评价，推动评价标准与岗位需求有机衔接，打通高技能人才与专业技术人才职业发展通道。优化人才激励机制，在职称评定、项目申报等方面向重点产业链人才适当倾斜。加强知识产权保护，切实保障人才创新成果和合法权益。</w:t>
      </w:r>
    </w:p>
    <w:p w14:paraId="0322DF79">
      <w:pPr>
        <w:pStyle w:val="4"/>
        <w:spacing w:before="217" w:after="217"/>
        <w:rPr>
          <w:rFonts w:ascii="宋体" w:hAnsi="宋体"/>
        </w:rPr>
      </w:pPr>
      <w:bookmarkStart w:id="129" w:name="_Toc212560083"/>
      <w:bookmarkStart w:id="130" w:name="_Toc219068727"/>
      <w:r>
        <w:rPr>
          <w:rFonts w:hint="eastAsia" w:ascii="宋体" w:hAnsi="宋体"/>
        </w:rPr>
        <w:t>第四节 优化发展环境精心留才</w:t>
      </w:r>
      <w:bookmarkEnd w:id="129"/>
      <w:bookmarkEnd w:id="130"/>
    </w:p>
    <w:p w14:paraId="59D7BD90">
      <w:pPr>
        <w:ind w:firstLine="640"/>
        <w:rPr>
          <w:rFonts w:cs="仿宋_GB2312"/>
          <w:szCs w:val="32"/>
        </w:rPr>
      </w:pPr>
      <w:r>
        <w:rPr>
          <w:rFonts w:hint="eastAsia" w:cs="仿宋_GB2312"/>
          <w:szCs w:val="32"/>
        </w:rPr>
        <w:t>持续优化人才发展环境，强化政策集成与服务赋能，营造尊重人才、关爱人才、成就人才的良好氛围，实现人才“引得进、留得住、用得好”。</w:t>
      </w:r>
    </w:p>
    <w:p w14:paraId="6DF7A9C1">
      <w:pPr>
        <w:ind w:firstLine="640"/>
        <w:rPr>
          <w:rFonts w:cs="仿宋_GB2312"/>
          <w:szCs w:val="32"/>
        </w:rPr>
      </w:pPr>
      <w:r>
        <w:rPr>
          <w:rFonts w:hint="eastAsia" w:eastAsia="楷体" w:cs="楷体"/>
          <w:bCs/>
        </w:rPr>
        <w:t>强化政策精准供给。</w:t>
      </w:r>
      <w:r>
        <w:rPr>
          <w:rFonts w:hint="eastAsia" w:cs="仿宋_GB2312"/>
          <w:szCs w:val="32"/>
        </w:rPr>
        <w:t>结合重点产业链发展需求，构建分类科学、层级清晰、保障有力的人才政策体系。强化对京津中关村科技城发展、国家农业高新技术产业示范区创建等重点平台的政策聚焦与资源倾斜，加大对重点产业链的支持力度，确保人才政策与区域发展战略同频共振。完善政策质效评估和动态调整机制，畅通政策获取渠道，更好发挥政策牵引和导向作用。</w:t>
      </w:r>
    </w:p>
    <w:p w14:paraId="61C0229C">
      <w:pPr>
        <w:ind w:firstLine="640"/>
        <w:rPr>
          <w:rFonts w:cs="仿宋_GB2312"/>
          <w:szCs w:val="32"/>
        </w:rPr>
      </w:pPr>
      <w:r>
        <w:rPr>
          <w:rFonts w:hint="eastAsia" w:eastAsia="楷体" w:cs="楷体"/>
          <w:bCs/>
        </w:rPr>
        <w:t>做优做实服务保障。</w:t>
      </w:r>
      <w:r>
        <w:rPr>
          <w:rFonts w:hint="eastAsia" w:cs="仿宋_GB2312"/>
          <w:szCs w:val="32"/>
        </w:rPr>
        <w:t>全面推广“宝坻人才卡”，持续扩充购房购车、餐饮住宿、交通出行、贷款金融、健康医疗、子女教育等服务事项。提高人才公寓服务水平，满足人才多样化住房需求，保障人才安心安业。加快布局教育、医疗、商业、文体等现代化基础设施，丰富生活配套、购物休闲、文化娱乐等服务资源供给，进一步增强人才幸福感归属感。常态开展“宝坻人才日”系列活动，搭建人才交流、技术对接、项目合作平台。</w:t>
      </w:r>
    </w:p>
    <w:p w14:paraId="5EBF882E">
      <w:pPr>
        <w:ind w:firstLine="640"/>
        <w:rPr>
          <w:rFonts w:cs="仿宋_GB2312"/>
          <w:szCs w:val="32"/>
        </w:rPr>
      </w:pPr>
      <w:r>
        <w:rPr>
          <w:rFonts w:hint="eastAsia" w:eastAsia="楷体" w:cs="楷体"/>
          <w:bCs/>
        </w:rPr>
        <w:t>健全完善服务机制。</w:t>
      </w:r>
      <w:r>
        <w:rPr>
          <w:rFonts w:hint="eastAsia" w:cs="仿宋_GB2312"/>
          <w:szCs w:val="32"/>
        </w:rPr>
        <w:t>完善党委联系服务人才制度，</w:t>
      </w:r>
      <w:r>
        <w:rPr>
          <w:rFonts w:hint="eastAsia" w:cs="仿宋_GB2312"/>
          <w:kern w:val="0"/>
          <w:sz w:val="34"/>
          <w:szCs w:val="34"/>
        </w:rPr>
        <w:t>常态化开展走访慰问活动，</w:t>
      </w:r>
      <w:r>
        <w:rPr>
          <w:rFonts w:hint="eastAsia" w:cs="仿宋_GB2312"/>
          <w:szCs w:val="32"/>
        </w:rPr>
        <w:t>主动协调解决专家人才在工作生活、科研创新中遇到的现实困难，</w:t>
      </w:r>
      <w:r>
        <w:rPr>
          <w:rFonts w:hint="eastAsia" w:cs="仿宋_GB2312"/>
          <w:kern w:val="0"/>
          <w:sz w:val="34"/>
          <w:szCs w:val="34"/>
        </w:rPr>
        <w:t>全面</w:t>
      </w:r>
      <w:r>
        <w:rPr>
          <w:rFonts w:hint="eastAsia" w:cs="仿宋_GB2312"/>
          <w:szCs w:val="32"/>
        </w:rPr>
        <w:t>加强对专家人才的政治引领和政治吸纳。统筹协调职能部门、园区、属地街镇，建立熟悉政策、精通业务、善于沟通的人才服务专员队伍，主动为企业、人才纾困解难，形成诉求快速响应、问题高效办理的闭环管理，持续优化营商环境，切实提升人才的归属感、幸福感、获得感。</w:t>
      </w:r>
    </w:p>
    <w:p w14:paraId="1B6D289C">
      <w:pPr>
        <w:ind w:firstLine="640"/>
        <w:rPr>
          <w:rFonts w:cs="仿宋_GB2312"/>
          <w:szCs w:val="32"/>
        </w:rPr>
      </w:pPr>
    </w:p>
    <w:p w14:paraId="18900F06">
      <w:pPr>
        <w:ind w:firstLine="640"/>
        <w:rPr>
          <w:rFonts w:cs="仿宋_GB2312"/>
          <w:szCs w:val="32"/>
        </w:rPr>
      </w:pP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1C59E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Borders>
              <w:top w:val="single" w:color="000000" w:sz="4" w:space="0"/>
              <w:left w:val="single" w:color="000000" w:sz="4" w:space="0"/>
              <w:bottom w:val="single" w:color="000000" w:sz="4" w:space="0"/>
              <w:right w:val="single" w:color="000000" w:sz="4" w:space="0"/>
            </w:tcBorders>
          </w:tcPr>
          <w:p w14:paraId="5E109A79">
            <w:pPr>
              <w:adjustRightInd w:val="0"/>
              <w:snapToGrid w:val="0"/>
              <w:ind w:firstLine="24" w:firstLineChars="8"/>
              <w:jc w:val="center"/>
              <w:rPr>
                <w:sz w:val="30"/>
                <w:szCs w:val="30"/>
              </w:rPr>
            </w:pPr>
            <w:r>
              <w:rPr>
                <w:rFonts w:hint="eastAsia" w:cs="仿宋_GB2312"/>
                <w:b/>
                <w:sz w:val="30"/>
                <w:szCs w:val="30"/>
              </w:rPr>
              <w:t>引领工程之五 “人才友好型区域建设”工程</w:t>
            </w:r>
          </w:p>
        </w:tc>
      </w:tr>
      <w:tr w14:paraId="24BE4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Borders>
              <w:top w:val="single" w:color="000000" w:sz="4" w:space="0"/>
              <w:left w:val="single" w:color="000000" w:sz="4" w:space="0"/>
              <w:bottom w:val="single" w:color="000000" w:sz="4" w:space="0"/>
              <w:right w:val="single" w:color="000000" w:sz="4" w:space="0"/>
            </w:tcBorders>
          </w:tcPr>
          <w:p w14:paraId="19521E24">
            <w:pPr>
              <w:adjustRightInd w:val="0"/>
              <w:snapToGrid w:val="0"/>
              <w:ind w:firstLine="600"/>
              <w:rPr>
                <w:sz w:val="30"/>
                <w:szCs w:val="30"/>
              </w:rPr>
            </w:pPr>
            <w:r>
              <w:rPr>
                <w:rFonts w:hint="eastAsia"/>
                <w:sz w:val="30"/>
                <w:szCs w:val="30"/>
              </w:rPr>
              <w:t>深入实施人才强区战略，基本建成京津冀地区具有重要影响力的人才集聚高地和创新策源地，形成“近悦远来”的一流人才生态。到</w:t>
            </w:r>
            <w:r>
              <w:rPr>
                <w:rFonts w:hint="eastAsia" w:eastAsia="宋体" w:cs="宋体"/>
                <w:sz w:val="30"/>
                <w:szCs w:val="30"/>
              </w:rPr>
              <w:t>2030</w:t>
            </w:r>
            <w:r>
              <w:rPr>
                <w:rFonts w:hint="eastAsia"/>
                <w:sz w:val="30"/>
                <w:szCs w:val="30"/>
              </w:rPr>
              <w:t>年，按照《宝坻区新时代“人才奠基”计划》（</w:t>
            </w:r>
            <w:r>
              <w:rPr>
                <w:rFonts w:eastAsia="宋体" w:cs="宋体"/>
                <w:sz w:val="30"/>
                <w:szCs w:val="30"/>
              </w:rPr>
              <w:t>2026</w:t>
            </w:r>
            <w:r>
              <w:rPr>
                <w:rFonts w:hint="eastAsia" w:eastAsia="宋体" w:cs="宋体"/>
                <w:sz w:val="30"/>
                <w:szCs w:val="30"/>
              </w:rPr>
              <w:t>—</w:t>
            </w:r>
            <w:r>
              <w:rPr>
                <w:rFonts w:eastAsia="宋体" w:cs="宋体"/>
                <w:sz w:val="30"/>
                <w:szCs w:val="30"/>
              </w:rPr>
              <w:t>2030</w:t>
            </w:r>
            <w:r>
              <w:rPr>
                <w:sz w:val="30"/>
                <w:szCs w:val="30"/>
              </w:rPr>
              <w:t>年</w:t>
            </w:r>
            <w:r>
              <w:rPr>
                <w:rFonts w:hint="eastAsia"/>
                <w:sz w:val="30"/>
                <w:szCs w:val="30"/>
              </w:rPr>
              <w:t>）总体目标要求，引进培育支撑全区高质量发展的各类人才</w:t>
            </w:r>
            <w:r>
              <w:rPr>
                <w:rFonts w:hint="eastAsia" w:eastAsia="宋体" w:cs="宋体"/>
                <w:sz w:val="30"/>
                <w:szCs w:val="30"/>
              </w:rPr>
              <w:t>2</w:t>
            </w:r>
            <w:r>
              <w:rPr>
                <w:rFonts w:hint="eastAsia"/>
                <w:sz w:val="30"/>
                <w:szCs w:val="30"/>
              </w:rPr>
              <w:t>万人以上。</w:t>
            </w:r>
          </w:p>
          <w:p w14:paraId="28E9195B">
            <w:pPr>
              <w:adjustRightInd w:val="0"/>
              <w:snapToGrid w:val="0"/>
              <w:ind w:firstLine="602"/>
              <w:rPr>
                <w:sz w:val="30"/>
                <w:szCs w:val="30"/>
              </w:rPr>
            </w:pPr>
            <w:r>
              <w:rPr>
                <w:rFonts w:hint="eastAsia"/>
                <w:b/>
                <w:bCs/>
                <w:sz w:val="30"/>
                <w:szCs w:val="30"/>
              </w:rPr>
              <w:t>（一）构建人才政策体系。</w:t>
            </w:r>
            <w:r>
              <w:rPr>
                <w:rFonts w:hint="eastAsia"/>
                <w:sz w:val="30"/>
                <w:szCs w:val="30"/>
              </w:rPr>
              <w:t>聚焦区域主导产业和战略性新兴产业发展需求，实施更加积极、开放、有效的人才引进政策。完善人才分类评价与激励保障机制，在创新创业、平台项目、生活服务等方面提供精准支持。</w:t>
            </w:r>
          </w:p>
          <w:p w14:paraId="6B6C885A">
            <w:pPr>
              <w:adjustRightInd w:val="0"/>
              <w:snapToGrid w:val="0"/>
              <w:ind w:firstLine="602"/>
              <w:rPr>
                <w:sz w:val="30"/>
                <w:szCs w:val="30"/>
              </w:rPr>
            </w:pPr>
            <w:r>
              <w:rPr>
                <w:rFonts w:hint="eastAsia"/>
                <w:b/>
                <w:bCs/>
                <w:sz w:val="30"/>
                <w:szCs w:val="30"/>
              </w:rPr>
              <w:t>（二）提升人才服务保障。</w:t>
            </w:r>
            <w:r>
              <w:rPr>
                <w:rFonts w:hint="eastAsia"/>
                <w:sz w:val="30"/>
                <w:szCs w:val="30"/>
              </w:rPr>
              <w:t>着力解决人才关心的住房安居、配偶就业、子女教育等关键问题，高品质建设人才公寓，完善生活配套设施，打造宜居宜业的生活环境，切实提升人才归属感和幸福感。</w:t>
            </w:r>
          </w:p>
          <w:p w14:paraId="6E31650B">
            <w:pPr>
              <w:adjustRightInd w:val="0"/>
              <w:snapToGrid w:val="0"/>
              <w:ind w:firstLine="602"/>
              <w:rPr>
                <w:rFonts w:eastAsia="楷体_GB2312"/>
                <w:b/>
                <w:sz w:val="28"/>
                <w:szCs w:val="28"/>
              </w:rPr>
            </w:pPr>
            <w:r>
              <w:rPr>
                <w:rFonts w:hint="eastAsia"/>
                <w:b/>
                <w:bCs/>
                <w:sz w:val="30"/>
                <w:szCs w:val="30"/>
              </w:rPr>
              <w:t>（三）搭建人才平台载体。</w:t>
            </w:r>
            <w:r>
              <w:rPr>
                <w:rFonts w:hint="eastAsia"/>
                <w:sz w:val="30"/>
                <w:szCs w:val="30"/>
              </w:rPr>
              <w:t>支持重点企业与高校、科研院所共建研发平台。积极举办高层次人才论坛、创新创业大赛等活动，促进人才、技术、资本等要素高效对接。畅通人才职业发展通道，为各类人才施展才华提供广阔舞台。</w:t>
            </w:r>
          </w:p>
        </w:tc>
      </w:tr>
    </w:tbl>
    <w:p w14:paraId="7C5A0F8F">
      <w:pPr>
        <w:widowControl/>
        <w:spacing w:line="240" w:lineRule="auto"/>
        <w:ind w:firstLine="0" w:firstLineChars="0"/>
        <w:jc w:val="left"/>
        <w:rPr>
          <w:rFonts w:eastAsia="黑体" w:cstheme="majorBidi"/>
          <w:kern w:val="0"/>
          <w:szCs w:val="28"/>
        </w:rPr>
      </w:pPr>
      <w:r>
        <w:br w:type="page"/>
      </w:r>
    </w:p>
    <w:p w14:paraId="1589B9B0">
      <w:pPr>
        <w:pStyle w:val="3"/>
        <w:spacing w:before="435" w:after="435"/>
        <w:rPr>
          <w:rFonts w:ascii="宋体" w:hAnsi="宋体"/>
        </w:rPr>
      </w:pPr>
      <w:bookmarkStart w:id="131" w:name="_Toc219068728"/>
      <w:bookmarkStart w:id="132" w:name="_Toc215679953"/>
      <w:bookmarkStart w:id="133" w:name="_Toc212560084"/>
      <w:r>
        <w:rPr>
          <w:rFonts w:hint="eastAsia" w:ascii="宋体" w:hAnsi="宋体"/>
        </w:rPr>
        <w:t>第八章</w:t>
      </w:r>
      <w:r>
        <w:rPr>
          <w:rFonts w:ascii="宋体" w:hAnsi="宋体"/>
        </w:rPr>
        <w:t xml:space="preserve">  </w:t>
      </w:r>
      <w:bookmarkStart w:id="134" w:name="OLE_LINK77"/>
      <w:r>
        <w:rPr>
          <w:rFonts w:ascii="宋体" w:hAnsi="宋体"/>
        </w:rPr>
        <w:t>构建现代化产业体系</w:t>
      </w:r>
      <w:r>
        <w:rPr>
          <w:rFonts w:hint="eastAsia" w:ascii="宋体" w:hAnsi="宋体"/>
        </w:rPr>
        <w:t>，巩固壮大实体经济根基</w:t>
      </w:r>
      <w:bookmarkEnd w:id="131"/>
      <w:bookmarkEnd w:id="132"/>
      <w:bookmarkEnd w:id="133"/>
      <w:bookmarkEnd w:id="134"/>
    </w:p>
    <w:p w14:paraId="727037A3">
      <w:pPr>
        <w:ind w:firstLine="640"/>
      </w:pPr>
      <w:bookmarkStart w:id="135" w:name="OLE_LINK78"/>
      <w:bookmarkStart w:id="136" w:name="_Toc212560085"/>
      <w:r>
        <w:rPr>
          <w:rFonts w:hint="eastAsia"/>
        </w:rPr>
        <w:t>以“重点产业链培优做强”工程为引领，以构建现代化产业体系为目标，坚持把发展经济的着力点放在实体经济上，坚持智能化、绿色化、融合化方向，加快构建以战略性新兴产业和未来产业为引领、先进制造业为骨干、现代服务业为支撑的现代化产业体系</w:t>
      </w:r>
      <w:bookmarkEnd w:id="135"/>
      <w:r>
        <w:rPr>
          <w:rFonts w:hint="eastAsia"/>
        </w:rPr>
        <w:t>，提升宝坻经济开发区能级，筑牢开发区经济基本盘。</w:t>
      </w:r>
    </w:p>
    <w:p w14:paraId="26C80DEF">
      <w:pPr>
        <w:pStyle w:val="4"/>
        <w:spacing w:before="217" w:after="217"/>
        <w:rPr>
          <w:rFonts w:ascii="宋体" w:hAnsi="宋体"/>
        </w:rPr>
      </w:pPr>
      <w:bookmarkStart w:id="137" w:name="_Toc215679954"/>
      <w:bookmarkStart w:id="138" w:name="_Toc219068729"/>
      <w:r>
        <w:rPr>
          <w:rFonts w:hint="eastAsia" w:ascii="宋体" w:hAnsi="宋体"/>
        </w:rPr>
        <w:t xml:space="preserve">第一节 </w:t>
      </w:r>
      <w:bookmarkStart w:id="139" w:name="OLE_LINK80"/>
      <w:r>
        <w:rPr>
          <w:rFonts w:hint="eastAsia" w:ascii="宋体" w:hAnsi="宋体"/>
        </w:rPr>
        <w:t>提升重点产业链群能级</w:t>
      </w:r>
      <w:bookmarkEnd w:id="136"/>
      <w:bookmarkEnd w:id="137"/>
      <w:bookmarkEnd w:id="138"/>
      <w:bookmarkEnd w:id="139"/>
    </w:p>
    <w:p w14:paraId="71196AAB">
      <w:pPr>
        <w:ind w:firstLine="640"/>
      </w:pPr>
      <w:bookmarkStart w:id="140" w:name="_Toc212560087"/>
      <w:r>
        <w:rPr>
          <w:rFonts w:hint="eastAsia"/>
        </w:rPr>
        <w:t>深化</w:t>
      </w:r>
      <w:bookmarkStart w:id="141" w:name="OLE_LINK9"/>
      <w:bookmarkStart w:id="142" w:name="OLE_LINK37"/>
      <w:r>
        <w:rPr>
          <w:rFonts w:hint="eastAsia"/>
        </w:rPr>
        <w:t>高端装备制造、新能源新材料、新一代信息技术</w:t>
      </w:r>
      <w:bookmarkEnd w:id="141"/>
      <w:bookmarkEnd w:id="142"/>
      <w:r>
        <w:rPr>
          <w:rFonts w:hint="eastAsia"/>
        </w:rPr>
        <w:t>重点产业链建设</w:t>
      </w:r>
      <w:r>
        <w:t>，</w:t>
      </w:r>
      <w:r>
        <w:rPr>
          <w:rFonts w:hint="eastAsia"/>
        </w:rPr>
        <w:t>构建“区级培育—市级主题园区—国家级产业集群”梯度培育发展体系，推动产业成龙配套、成链成群，</w:t>
      </w:r>
      <w:r>
        <w:t>进一步提升产业能级，</w:t>
      </w:r>
      <w:r>
        <w:rPr>
          <w:rFonts w:hint="eastAsia"/>
        </w:rPr>
        <w:t>形成具有较强竞争力和影响力的产业集群，更好提升产业韧性和竞争力</w:t>
      </w:r>
      <w:r>
        <w:t>。</w:t>
      </w:r>
    </w:p>
    <w:p w14:paraId="5BC0B673">
      <w:pPr>
        <w:ind w:firstLine="640"/>
        <w:rPr>
          <w:b/>
          <w:bCs/>
        </w:rPr>
      </w:pPr>
      <w:bookmarkStart w:id="143" w:name="OLE_LINK81"/>
      <w:r>
        <w:rPr>
          <w:rFonts w:hint="eastAsia" w:eastAsia="楷体" w:cs="楷体"/>
          <w:bCs/>
        </w:rPr>
        <w:t>做强重点产业链群。</w:t>
      </w:r>
      <w:r>
        <w:rPr>
          <w:rFonts w:hint="eastAsia"/>
          <w:b/>
          <w:bCs/>
        </w:rPr>
        <w:t>建强高端装备制造产业</w:t>
      </w:r>
      <w:bookmarkStart w:id="144" w:name="OLE_LINK29"/>
      <w:r>
        <w:rPr>
          <w:rFonts w:hint="eastAsia"/>
          <w:b/>
          <w:bCs/>
        </w:rPr>
        <w:t>链群</w:t>
      </w:r>
      <w:bookmarkEnd w:id="144"/>
      <w:r>
        <w:rPr>
          <w:rFonts w:hint="eastAsia"/>
          <w:b/>
          <w:bCs/>
        </w:rPr>
        <w:t>，</w:t>
      </w:r>
      <w:r>
        <w:rPr>
          <w:rFonts w:hint="eastAsia"/>
        </w:rPr>
        <w:t>紧贴高端化、智能化发展方向，推动汽车配件领域向电控、电机等新能源核心零部件延伸，提升电梯、电气等产业竞争力，</w:t>
      </w:r>
      <w:r>
        <w:rPr>
          <w:rFonts w:hint="eastAsia" w:cs="Times New Roman"/>
          <w:szCs w:val="32"/>
        </w:rPr>
        <w:t>增强区域内配套能力，大力发展智能制造，聚焦智能成套设备、工业机器人等方向，培育一批系统解决方案供应商，打造国内具有一定影响力的产业基地</w:t>
      </w:r>
      <w:r>
        <w:rPr>
          <w:rFonts w:hint="eastAsia"/>
          <w:szCs w:val="32"/>
        </w:rPr>
        <w:t>。</w:t>
      </w:r>
      <w:r>
        <w:rPr>
          <w:rFonts w:hint="eastAsia"/>
          <w:b/>
          <w:bCs/>
          <w:szCs w:val="32"/>
        </w:rPr>
        <w:t>建强新能源新材料产业链群，</w:t>
      </w:r>
      <w:r>
        <w:rPr>
          <w:szCs w:val="32"/>
        </w:rPr>
        <w:t>聚焦清洁化、高效化与智</w:t>
      </w:r>
      <w:r>
        <w:t>能化</w:t>
      </w:r>
      <w:r>
        <w:rPr>
          <w:rFonts w:hint="eastAsia"/>
        </w:rPr>
        <w:t>，发展储能装备、绿色能源应用等新业态，</w:t>
      </w:r>
      <w:r>
        <w:t>强化基础支撑与前沿创新</w:t>
      </w:r>
      <w:r>
        <w:rPr>
          <w:rFonts w:hint="eastAsia"/>
        </w:rPr>
        <w:t>，统筹发展高端贵金属材料、高性能复合材料，壮大稀土资源综合利用等产业。</w:t>
      </w:r>
      <w:r>
        <w:rPr>
          <w:rFonts w:hint="eastAsia"/>
          <w:b/>
          <w:bCs/>
        </w:rPr>
        <w:t>建强新一代信息技术产业链群，</w:t>
      </w:r>
      <w:r>
        <w:rPr>
          <w:rFonts w:hint="eastAsia"/>
        </w:rPr>
        <w:t>强化自主可控与高端化，围绕核心前沿技术，开展核心技术攻关，强化“信息技术+智能制造”，打造产业数字化核心场景，重塑新兴业态，重点发展产业链上游集成电路、智能终端、智能传感器等产业，打造电子信息制造产业集聚区。</w:t>
      </w:r>
      <w:bookmarkEnd w:id="143"/>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7CBB6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Borders>
              <w:top w:val="single" w:color="000000" w:sz="4" w:space="0"/>
              <w:left w:val="single" w:color="000000" w:sz="4" w:space="0"/>
              <w:bottom w:val="single" w:color="000000" w:sz="4" w:space="0"/>
              <w:right w:val="single" w:color="000000" w:sz="4" w:space="0"/>
            </w:tcBorders>
          </w:tcPr>
          <w:p w14:paraId="51074F6C">
            <w:pPr>
              <w:adjustRightInd w:val="0"/>
              <w:snapToGrid w:val="0"/>
              <w:ind w:firstLine="0" w:firstLineChars="0"/>
              <w:jc w:val="center"/>
              <w:rPr>
                <w:rFonts w:cs="Times New Roman"/>
                <w:sz w:val="30"/>
                <w:szCs w:val="30"/>
              </w:rPr>
            </w:pPr>
            <w:r>
              <w:rPr>
                <w:rFonts w:hint="eastAsia" w:cs="Times New Roman"/>
                <w:b/>
                <w:sz w:val="30"/>
                <w:szCs w:val="30"/>
              </w:rPr>
              <w:t>引领工程之六 “重点产业链培优做强”工程</w:t>
            </w:r>
          </w:p>
        </w:tc>
      </w:tr>
      <w:tr w14:paraId="5BEEE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Borders>
              <w:top w:val="single" w:color="000000" w:sz="4" w:space="0"/>
              <w:left w:val="single" w:color="000000" w:sz="4" w:space="0"/>
              <w:bottom w:val="single" w:color="000000" w:sz="4" w:space="0"/>
              <w:right w:val="single" w:color="000000" w:sz="4" w:space="0"/>
            </w:tcBorders>
          </w:tcPr>
          <w:p w14:paraId="5D7CEF1D">
            <w:pPr>
              <w:adjustRightInd w:val="0"/>
              <w:snapToGrid w:val="0"/>
              <w:ind w:firstLine="600"/>
              <w:rPr>
                <w:rFonts w:cs="Times New Roman"/>
                <w:sz w:val="30"/>
                <w:szCs w:val="30"/>
              </w:rPr>
            </w:pPr>
            <w:r>
              <w:rPr>
                <w:rFonts w:hint="eastAsia" w:cs="Times New Roman"/>
                <w:sz w:val="30"/>
                <w:szCs w:val="30"/>
              </w:rPr>
              <w:t>做优做强</w:t>
            </w:r>
            <w:bookmarkStart w:id="145" w:name="OLE_LINK44"/>
            <w:r>
              <w:rPr>
                <w:rFonts w:hint="eastAsia" w:cs="Times New Roman"/>
                <w:sz w:val="30"/>
                <w:szCs w:val="30"/>
              </w:rPr>
              <w:t>高端装备制造、新能源新材料、新一代信息技术</w:t>
            </w:r>
            <w:bookmarkEnd w:id="145"/>
            <w:r>
              <w:rPr>
                <w:rFonts w:hint="eastAsia"/>
                <w:sz w:val="28"/>
              </w:rPr>
              <w:t>3</w:t>
            </w:r>
            <w:r>
              <w:rPr>
                <w:rFonts w:hint="eastAsia" w:cs="Times New Roman"/>
                <w:sz w:val="30"/>
                <w:szCs w:val="30"/>
              </w:rPr>
              <w:t>条区级重点产业链，完善“链长+链主”双牵引机制，集中精力抓补链延链升链建链，增强</w:t>
            </w:r>
            <w:r>
              <w:rPr>
                <w:rFonts w:cs="Times New Roman"/>
                <w:sz w:val="30"/>
                <w:szCs w:val="30"/>
              </w:rPr>
              <w:t>全区</w:t>
            </w:r>
            <w:r>
              <w:rPr>
                <w:rFonts w:hint="eastAsia" w:cs="Times New Roman"/>
                <w:sz w:val="30"/>
                <w:szCs w:val="30"/>
              </w:rPr>
              <w:t>重点产业</w:t>
            </w:r>
            <w:r>
              <w:rPr>
                <w:rFonts w:cs="Times New Roman"/>
                <w:sz w:val="30"/>
                <w:szCs w:val="30"/>
              </w:rPr>
              <w:t>综合实力和竞争力</w:t>
            </w:r>
            <w:r>
              <w:rPr>
                <w:rFonts w:hint="eastAsia" w:cs="Times New Roman"/>
                <w:sz w:val="30"/>
                <w:szCs w:val="30"/>
              </w:rPr>
              <w:t>，打造</w:t>
            </w:r>
            <w:r>
              <w:rPr>
                <w:rFonts w:cs="Times New Roman"/>
                <w:sz w:val="30"/>
                <w:szCs w:val="30"/>
              </w:rPr>
              <w:t>产业链条完整、技术水平领先、集群效应突出的</w:t>
            </w:r>
            <w:r>
              <w:rPr>
                <w:rFonts w:hint="eastAsia" w:cs="Times New Roman"/>
                <w:sz w:val="30"/>
                <w:szCs w:val="30"/>
              </w:rPr>
              <w:t>重点产业集群</w:t>
            </w:r>
            <w:r>
              <w:rPr>
                <w:rFonts w:cs="Times New Roman"/>
                <w:sz w:val="30"/>
                <w:szCs w:val="30"/>
              </w:rPr>
              <w:t>。</w:t>
            </w:r>
            <w:r>
              <w:rPr>
                <w:rFonts w:hint="eastAsia" w:cs="Times New Roman"/>
                <w:sz w:val="30"/>
                <w:szCs w:val="30"/>
              </w:rPr>
              <w:t>到</w:t>
            </w:r>
            <w:r>
              <w:rPr>
                <w:rFonts w:cs="Times New Roman"/>
                <w:sz w:val="30"/>
                <w:szCs w:val="30"/>
              </w:rPr>
              <w:t>2030</w:t>
            </w:r>
            <w:r>
              <w:rPr>
                <w:rFonts w:hint="eastAsia" w:cs="Times New Roman"/>
                <w:sz w:val="30"/>
                <w:szCs w:val="30"/>
              </w:rPr>
              <w:t>年，力争高端装备制造、新能源新材料、新一代信息技术</w:t>
            </w:r>
            <w:r>
              <w:rPr>
                <w:rFonts w:eastAsia="宋体" w:cs="Times New Roman"/>
                <w:sz w:val="30"/>
                <w:szCs w:val="30"/>
              </w:rPr>
              <w:t>3</w:t>
            </w:r>
            <w:r>
              <w:rPr>
                <w:rFonts w:hint="eastAsia" w:cs="Times New Roman"/>
                <w:sz w:val="30"/>
                <w:szCs w:val="30"/>
              </w:rPr>
              <w:t>条产业链总产值突破500亿元</w:t>
            </w:r>
            <w:r>
              <w:rPr>
                <w:rFonts w:hint="eastAsia"/>
                <w:sz w:val="30"/>
                <w:szCs w:val="30"/>
              </w:rPr>
              <w:t>。</w:t>
            </w:r>
          </w:p>
          <w:p w14:paraId="56F43EEC">
            <w:pPr>
              <w:adjustRightInd w:val="0"/>
              <w:snapToGrid w:val="0"/>
              <w:ind w:firstLine="602"/>
              <w:rPr>
                <w:rFonts w:cs="Times New Roman"/>
                <w:sz w:val="30"/>
                <w:szCs w:val="30"/>
              </w:rPr>
            </w:pPr>
            <w:r>
              <w:rPr>
                <w:rFonts w:hint="eastAsia" w:cs="Times New Roman"/>
                <w:b/>
                <w:sz w:val="30"/>
                <w:szCs w:val="30"/>
              </w:rPr>
              <w:t>（一）</w:t>
            </w:r>
            <w:r>
              <w:rPr>
                <w:rFonts w:hint="eastAsia" w:cs="Times New Roman"/>
                <w:b/>
                <w:bCs/>
                <w:sz w:val="30"/>
                <w:szCs w:val="30"/>
              </w:rPr>
              <w:t>高端装备制造产业链。</w:t>
            </w:r>
            <w:r>
              <w:rPr>
                <w:rFonts w:hint="eastAsia" w:cs="Times New Roman"/>
                <w:sz w:val="30"/>
                <w:szCs w:val="30"/>
              </w:rPr>
              <w:t>聚焦智能成套设备、工业机器人，培育系统解决方案供应商，补齐智能传感器、仪器仪表等配套短板，填补“感知—控制”环节空白，推动人工智能技术在重点领域深度融合，不断壮大智能制造产业集群规模。加快推动智能控制系统、精密传感与执行机构、专用工业软件等关键核心技术，提升区域产业创新能力。依托京津中关村科技城，推动产业链企业加大投入，推动重点企业纳入新能源汽车供应链体系，提高为北京整车制造企业提供配套占比。依托九园工业园、口东工业园、天宝工业园等产业载体，推动装备制造领域重点项目开工建设，构建宝坻高端装备制造产业新优势。到</w:t>
            </w:r>
            <w:r>
              <w:rPr>
                <w:rFonts w:cs="Times New Roman"/>
                <w:sz w:val="30"/>
                <w:szCs w:val="30"/>
              </w:rPr>
              <w:t>2030年</w:t>
            </w:r>
            <w:r>
              <w:rPr>
                <w:rFonts w:hint="eastAsia" w:cs="Times New Roman"/>
                <w:sz w:val="30"/>
                <w:szCs w:val="30"/>
              </w:rPr>
              <w:t>，力争高端装备制造产业链</w:t>
            </w:r>
            <w:r>
              <w:rPr>
                <w:rFonts w:cs="Times New Roman"/>
                <w:sz w:val="30"/>
                <w:szCs w:val="30"/>
              </w:rPr>
              <w:t>总产值突破</w:t>
            </w:r>
            <w:r>
              <w:rPr>
                <w:rFonts w:hint="eastAsia" w:cs="Times New Roman"/>
                <w:sz w:val="30"/>
                <w:szCs w:val="30"/>
              </w:rPr>
              <w:t>15</w:t>
            </w:r>
            <w:r>
              <w:rPr>
                <w:rFonts w:cs="Times New Roman"/>
                <w:sz w:val="30"/>
                <w:szCs w:val="30"/>
              </w:rPr>
              <w:t>0亿元</w:t>
            </w:r>
            <w:r>
              <w:rPr>
                <w:rFonts w:hint="eastAsia" w:cs="Times New Roman"/>
                <w:sz w:val="30"/>
                <w:szCs w:val="30"/>
              </w:rPr>
              <w:t>。</w:t>
            </w:r>
          </w:p>
          <w:p w14:paraId="0051D54E">
            <w:pPr>
              <w:adjustRightInd w:val="0"/>
              <w:snapToGrid w:val="0"/>
              <w:ind w:firstLine="602"/>
              <w:rPr>
                <w:rFonts w:cs="Times New Roman"/>
                <w:sz w:val="30"/>
                <w:szCs w:val="30"/>
              </w:rPr>
            </w:pPr>
            <w:r>
              <w:rPr>
                <w:rFonts w:hint="eastAsia" w:cs="Times New Roman"/>
                <w:b/>
                <w:bCs/>
                <w:sz w:val="30"/>
                <w:szCs w:val="30"/>
              </w:rPr>
              <w:t>（二）新能源新材料产业链。新能源方面，</w:t>
            </w:r>
            <w:r>
              <w:rPr>
                <w:rFonts w:hint="eastAsia" w:cs="Times New Roman"/>
                <w:sz w:val="30"/>
                <w:szCs w:val="30"/>
              </w:rPr>
              <w:t>依托京津中关村科技城、宝坻经济开发区等核心平台，围绕新能源领域龙头项目，吸引集聚风电主机、核心零部件、储能电池、系统集成等上下游企业，打造集技术研发、高端制造、检验检测、运营服务于一体的先进能源产业集群，建设京津冀新能源先进制造产业基地。重点突破固态电池、氢燃料电池关键技术，助力钠离子电池、固态电池技术领跑全国，完善“核心材料—电芯制造—系统集成—回收利用”全链条。到2030年，力争新能源产业链总产值突破200亿元。</w:t>
            </w:r>
            <w:r>
              <w:rPr>
                <w:rFonts w:hint="eastAsia" w:cs="Times New Roman"/>
                <w:b/>
                <w:bCs/>
                <w:sz w:val="30"/>
                <w:szCs w:val="30"/>
              </w:rPr>
              <w:t>新材料方面，</w:t>
            </w:r>
            <w:r>
              <w:rPr>
                <w:rFonts w:hint="eastAsia" w:cs="Times New Roman"/>
                <w:sz w:val="30"/>
                <w:szCs w:val="30"/>
              </w:rPr>
              <w:t>构建“稀土资源利用—高性能磁材应用”完整产业链，布局稀土氧化物分离提纯、金属冶炼等关键环节。联合科研机构搭建光刻胶研发中心、电子靶材中试线，发展先进半导体材料、新型显示材料，推动稀土二次资源利用、高纯度稀土金属靶材研发、三代半导体材料等项目落地，打造“京津冀新材谷”重要节点。到2030年，力争新材料产业链总产值突破100亿元。</w:t>
            </w:r>
          </w:p>
          <w:p w14:paraId="293F9B91">
            <w:pPr>
              <w:adjustRightInd w:val="0"/>
              <w:snapToGrid w:val="0"/>
              <w:ind w:firstLine="602"/>
              <w:rPr>
                <w:rFonts w:cs="Times New Roman"/>
                <w:sz w:val="30"/>
                <w:szCs w:val="30"/>
              </w:rPr>
            </w:pPr>
            <w:r>
              <w:rPr>
                <w:rFonts w:hint="eastAsia" w:cs="Times New Roman"/>
                <w:b/>
                <w:bCs/>
                <w:sz w:val="30"/>
                <w:szCs w:val="30"/>
              </w:rPr>
              <w:t>（三）新一代信息技术产业链。</w:t>
            </w:r>
            <w:r>
              <w:rPr>
                <w:rFonts w:hint="eastAsia" w:cs="Times New Roman"/>
                <w:sz w:val="30"/>
                <w:szCs w:val="30"/>
              </w:rPr>
              <w:t>依托京津中关村科技城“天开高教科创园多点”定位优势，紧扣“北京研发+宝坻制造”核心模式，聚焦服务器、存储设备、高效制冷设备等核心硬件制造，吸引上下游配套企业集聚，形成“算力设施+硬件生产+运维服务”完整链条。围绕算力硬件制造需求，加快110KV用户站建设，开辟电力接入绿色通道，保障高耗能制造项目稳定供电。到</w:t>
            </w:r>
            <w:r>
              <w:rPr>
                <w:rFonts w:cs="Times New Roman"/>
                <w:sz w:val="30"/>
                <w:szCs w:val="30"/>
              </w:rPr>
              <w:t>2030年</w:t>
            </w:r>
            <w:r>
              <w:rPr>
                <w:rFonts w:hint="eastAsia" w:cs="Times New Roman"/>
                <w:sz w:val="30"/>
                <w:szCs w:val="30"/>
              </w:rPr>
              <w:t>，力争新一代信息技术产业链</w:t>
            </w:r>
            <w:r>
              <w:rPr>
                <w:rFonts w:cs="Times New Roman"/>
                <w:sz w:val="30"/>
                <w:szCs w:val="30"/>
              </w:rPr>
              <w:t>总产值突破50亿元。</w:t>
            </w:r>
          </w:p>
        </w:tc>
      </w:tr>
    </w:tbl>
    <w:p w14:paraId="1E71002E">
      <w:pPr>
        <w:pStyle w:val="4"/>
        <w:spacing w:before="217" w:after="217"/>
        <w:rPr>
          <w:rFonts w:ascii="宋体" w:hAnsi="宋体"/>
        </w:rPr>
      </w:pPr>
      <w:bookmarkStart w:id="146" w:name="_Toc215679955"/>
      <w:bookmarkStart w:id="147" w:name="_Toc219068730"/>
      <w:r>
        <w:rPr>
          <w:rFonts w:hint="eastAsia" w:ascii="宋体" w:hAnsi="宋体"/>
        </w:rPr>
        <w:t>第二节 培育</w:t>
      </w:r>
      <w:bookmarkStart w:id="148" w:name="OLE_LINK17"/>
      <w:r>
        <w:rPr>
          <w:rFonts w:hint="eastAsia" w:ascii="宋体" w:hAnsi="宋体"/>
        </w:rPr>
        <w:t>战略性新兴产业和未来产业</w:t>
      </w:r>
      <w:bookmarkEnd w:id="146"/>
      <w:bookmarkEnd w:id="147"/>
      <w:bookmarkEnd w:id="148"/>
    </w:p>
    <w:p w14:paraId="3D1DF4EF">
      <w:pPr>
        <w:ind w:firstLine="640"/>
      </w:pPr>
      <w:r>
        <w:rPr>
          <w:rFonts w:hint="eastAsia"/>
        </w:rPr>
        <w:t>重点培育</w:t>
      </w:r>
      <w:r>
        <w:t>数字经济</w:t>
      </w:r>
      <w:r>
        <w:rPr>
          <w:rFonts w:hint="eastAsia"/>
        </w:rPr>
        <w:t>、</w:t>
      </w:r>
      <w:r>
        <w:t>低空经济、智能网联汽车</w:t>
      </w:r>
      <w:r>
        <w:rPr>
          <w:rFonts w:hint="eastAsia"/>
        </w:rPr>
        <w:t>等产业</w:t>
      </w:r>
      <w:r>
        <w:t>，</w:t>
      </w:r>
      <w:r>
        <w:rPr>
          <w:rFonts w:hint="eastAsia"/>
        </w:rPr>
        <w:t>培育生物医药、食品加工等产业，打造一批各具特色、优势突出的新兴支柱产业。到</w:t>
      </w:r>
      <w:r>
        <w:t>2030</w:t>
      </w:r>
      <w:r>
        <w:rPr>
          <w:rFonts w:hint="eastAsia"/>
        </w:rPr>
        <w:t>年，战略性新兴产业和未来产业核心竞争力与融合发展能力全面增强，成为驱动区域经济高质量发展的重要引擎，工业战略性新兴产业总产值占工业总产值比重达到</w:t>
      </w:r>
      <w:r>
        <w:t>35%</w:t>
      </w:r>
      <w:r>
        <w:rPr>
          <w:rFonts w:hint="eastAsia"/>
        </w:rPr>
        <w:t>。</w:t>
      </w:r>
    </w:p>
    <w:p w14:paraId="147E543E">
      <w:pPr>
        <w:ind w:firstLine="640"/>
        <w:rPr>
          <w:b/>
          <w:bCs/>
        </w:rPr>
      </w:pPr>
      <w:r>
        <w:rPr>
          <w:rFonts w:hint="eastAsia" w:eastAsia="楷体" w:cs="楷体"/>
          <w:bCs/>
        </w:rPr>
        <w:t>推动数字经济、低空经济、智能网联车产业不断发展，前瞻布局一批未来产业。</w:t>
      </w:r>
      <w:r>
        <w:rPr>
          <w:rFonts w:hint="eastAsia"/>
        </w:rPr>
        <w:t>着力突破关键核心技术、引育高端创新主体、促进产业集群发展，强化政策精准供给、优化产业要素配置、构建开放协同生态，全面塑造区域发展新动能、新优势，为区域经济高质量发展构筑坚实支撑。“十五五”期间，力争实现重大突破，产业规模与创新能力显著提升，初步形成特色鲜明、链条完备、协同高效的新兴产业链，成为引领区域经济高质量发展的重要引擎。前瞻布局一批未来产业，推动生物制造、新型储能成为新的经济增长点。</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54118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Borders>
              <w:top w:val="single" w:color="000000" w:sz="4" w:space="0"/>
              <w:left w:val="single" w:color="000000" w:sz="4" w:space="0"/>
              <w:bottom w:val="single" w:color="000000" w:sz="4" w:space="0"/>
              <w:right w:val="single" w:color="000000" w:sz="4" w:space="0"/>
            </w:tcBorders>
          </w:tcPr>
          <w:p w14:paraId="4E676F2D">
            <w:pPr>
              <w:adjustRightInd w:val="0"/>
              <w:snapToGrid w:val="0"/>
              <w:ind w:firstLine="0" w:firstLineChars="0"/>
              <w:jc w:val="center"/>
              <w:rPr>
                <w:rFonts w:cs="Times New Roman"/>
                <w:b/>
                <w:bCs/>
                <w:sz w:val="30"/>
                <w:szCs w:val="30"/>
              </w:rPr>
            </w:pPr>
            <w:r>
              <w:rPr>
                <w:rFonts w:hint="eastAsia" w:cs="Times New Roman"/>
                <w:b/>
                <w:bCs/>
                <w:sz w:val="30"/>
                <w:szCs w:val="30"/>
              </w:rPr>
              <w:t>专栏</w:t>
            </w:r>
            <w:r>
              <w:rPr>
                <w:rFonts w:cs="Times New Roman"/>
                <w:b/>
                <w:bCs/>
                <w:sz w:val="30"/>
                <w:szCs w:val="30"/>
              </w:rPr>
              <w:t xml:space="preserve">2 </w:t>
            </w:r>
            <w:r>
              <w:rPr>
                <w:rFonts w:hint="eastAsia" w:cs="Times New Roman"/>
                <w:b/>
                <w:bCs/>
                <w:sz w:val="30"/>
                <w:szCs w:val="30"/>
              </w:rPr>
              <w:t>战略性新兴产业和未来产业重点领域发展任务</w:t>
            </w:r>
          </w:p>
          <w:p w14:paraId="0723156F">
            <w:pPr>
              <w:adjustRightInd w:val="0"/>
              <w:snapToGrid w:val="0"/>
              <w:ind w:firstLine="602"/>
              <w:rPr>
                <w:rFonts w:cs="Times New Roman"/>
                <w:b/>
                <w:bCs/>
                <w:sz w:val="30"/>
                <w:szCs w:val="30"/>
              </w:rPr>
            </w:pPr>
            <w:r>
              <w:rPr>
                <w:rFonts w:hint="eastAsia" w:cs="Times New Roman"/>
                <w:b/>
                <w:bCs/>
                <w:sz w:val="30"/>
                <w:szCs w:val="30"/>
              </w:rPr>
              <w:t>（一）培育壮大数字经济产业。</w:t>
            </w:r>
            <w:r>
              <w:rPr>
                <w:rFonts w:hint="eastAsia" w:cs="Times New Roman"/>
                <w:sz w:val="30"/>
                <w:szCs w:val="30"/>
              </w:rPr>
              <w:t>支持大数据采集、存储、处理、分析、可视化等核心技术产业化，培育一批具有核心竞争力的大数据产品和解决方案；超前布局数据基础设施，发挥重点项目算力优势，扩大算力供给规模；加强数字经济和实体经济深度融合，重点推动大数据在政府决策、金融风控、精准营销等场景的创新应用，开展智能网联车项目公共数据授权运营工作，繁荣数据开发生态，培育一批技术型、服务型、应用型数据商。加快培育游戏、元宇宙、大数据、人工智能等产业，推进数字产业化、产业数字化。</w:t>
            </w:r>
          </w:p>
          <w:p w14:paraId="09CF5588">
            <w:pPr>
              <w:adjustRightInd w:val="0"/>
              <w:snapToGrid w:val="0"/>
              <w:ind w:firstLine="602"/>
              <w:rPr>
                <w:rFonts w:cs="Times New Roman"/>
                <w:sz w:val="30"/>
                <w:szCs w:val="30"/>
              </w:rPr>
            </w:pPr>
            <w:r>
              <w:rPr>
                <w:rFonts w:hint="eastAsia" w:cs="Times New Roman"/>
                <w:b/>
                <w:bCs/>
                <w:sz w:val="30"/>
                <w:szCs w:val="30"/>
              </w:rPr>
              <w:t>（二）培育壮大低空经济产业。</w:t>
            </w:r>
            <w:r>
              <w:rPr>
                <w:rFonts w:hint="eastAsia" w:cs="Times New Roman"/>
                <w:sz w:val="30"/>
                <w:szCs w:val="30"/>
              </w:rPr>
              <w:t>联动京津冀低空经济产业联盟，聚焦无人机、直升机、e</w:t>
            </w:r>
            <w:r>
              <w:rPr>
                <w:rFonts w:cs="Times New Roman"/>
                <w:sz w:val="30"/>
                <w:szCs w:val="30"/>
              </w:rPr>
              <w:t>VTOL</w:t>
            </w:r>
            <w:r>
              <w:rPr>
                <w:rFonts w:hint="eastAsia" w:cs="Times New Roman"/>
                <w:sz w:val="30"/>
                <w:szCs w:val="30"/>
              </w:rPr>
              <w:t>核心领域，强化整机及核心零部件、飞行控制等关键环节转化生产能力，梯度培育创新型企业，促进专精特新中小企业发展壮大，因地制宜加快提升低空经济科技“硬核力”和产业“竞争力”；完善低空经济基础设施建设，打造低空综合测试场地，推进京津新城无人机测试试飞基地项目建设，建设多功能无人机起降场与直升机应急起降点；发展“低空+”文旅消费、物流服务、运动体验、教育培训等应用场景，推进无人机在各领域的深度应用，打造一批场景示范。</w:t>
            </w:r>
          </w:p>
          <w:p w14:paraId="5468F3C4">
            <w:pPr>
              <w:adjustRightInd w:val="0"/>
              <w:snapToGrid w:val="0"/>
              <w:ind w:firstLine="602"/>
              <w:rPr>
                <w:rFonts w:cs="Times New Roman"/>
                <w:sz w:val="30"/>
                <w:szCs w:val="30"/>
              </w:rPr>
            </w:pPr>
            <w:r>
              <w:rPr>
                <w:rFonts w:hint="eastAsia" w:cs="Times New Roman"/>
                <w:b/>
                <w:bCs/>
                <w:sz w:val="30"/>
                <w:szCs w:val="30"/>
              </w:rPr>
              <w:t>（三）培育壮大智能网联汽车产业。</w:t>
            </w:r>
            <w:r>
              <w:rPr>
                <w:rFonts w:hint="eastAsia" w:cs="Times New Roman"/>
                <w:sz w:val="30"/>
                <w:szCs w:val="30"/>
              </w:rPr>
              <w:t>依托动力电池、汽车配件等产业，在车规级芯片、智能感知等汽车电子领域积极布局，围绕环境感知、智能决策、控制执行等车载关键技术加强重点攻关，做强车路协同、云控平台及高精度地图等重要产品；联合京津冀高校、科研机构，共建智能网联汽车技术平台；加快智能网联创新基地等项目建设；拓展智能网联道路基础设施覆盖，依法依规开放路权，推动更多道路测试、示范应用等场景落地，加强智能网联公交系统应用普及，拓展智能网联道路规模，积极申报“车路云一体化”应用试点，开展智能网联车项目公共数据授权运营工作，打造全国领先的智能网联车“宝坻范本”。</w:t>
            </w:r>
          </w:p>
        </w:tc>
      </w:tr>
    </w:tbl>
    <w:p w14:paraId="31798702">
      <w:pPr>
        <w:pStyle w:val="4"/>
        <w:spacing w:before="217" w:after="217"/>
        <w:rPr>
          <w:rFonts w:ascii="宋体" w:hAnsi="宋体"/>
        </w:rPr>
      </w:pPr>
      <w:bookmarkStart w:id="149" w:name="_Toc215679956"/>
      <w:bookmarkStart w:id="150" w:name="_Toc219068731"/>
      <w:r>
        <w:rPr>
          <w:rFonts w:hint="eastAsia" w:ascii="宋体" w:hAnsi="宋体"/>
        </w:rPr>
        <w:t xml:space="preserve">第三节 </w:t>
      </w:r>
      <w:bookmarkStart w:id="151" w:name="OLE_LINK95"/>
      <w:r>
        <w:rPr>
          <w:rFonts w:hint="eastAsia" w:ascii="宋体" w:hAnsi="宋体"/>
        </w:rPr>
        <w:t>推动</w:t>
      </w:r>
      <w:r>
        <w:rPr>
          <w:rFonts w:ascii="宋体" w:hAnsi="宋体"/>
        </w:rPr>
        <w:t>传统产业转型升级</w:t>
      </w:r>
      <w:bookmarkEnd w:id="140"/>
      <w:bookmarkEnd w:id="149"/>
      <w:bookmarkEnd w:id="150"/>
      <w:bookmarkEnd w:id="151"/>
    </w:p>
    <w:p w14:paraId="7264CC25">
      <w:pPr>
        <w:ind w:firstLine="640"/>
        <w:rPr>
          <w:rFonts w:cs="Times New Roman"/>
        </w:rPr>
      </w:pPr>
      <w:bookmarkStart w:id="152" w:name="OLE_LINK15"/>
      <w:r>
        <w:rPr>
          <w:rFonts w:hint="eastAsia"/>
        </w:rPr>
        <w:t>坚持把发展经济的着力点放在实体经济上，加快家居、服装、食品、乐器、体育、文旅、农产品等传统产业高端化、智能化、绿色化改造，提升规模、质量和竞争力，到2030年，力争总产值突破200亿元。深化传统制造业生产方式与运营模式改革，运用人工智能等新一代信息技术，打造“</w:t>
      </w:r>
      <w:r>
        <w:rPr>
          <w:rFonts w:cs="Times New Roman"/>
        </w:rPr>
        <w:t>AI+</w:t>
      </w:r>
      <w:r>
        <w:rPr>
          <w:rFonts w:hint="eastAsia"/>
        </w:rPr>
        <w:t>”应用场景，探索绿色化生产方式，促进产业融合化发展</w:t>
      </w:r>
      <w:r>
        <w:rPr>
          <w:rFonts w:cs="Times New Roman"/>
        </w:rPr>
        <w:t>。</w:t>
      </w:r>
    </w:p>
    <w:p w14:paraId="6B886D58">
      <w:pPr>
        <w:ind w:firstLine="640"/>
        <w:rPr>
          <w:rFonts w:cs="Times New Roman"/>
          <w:szCs w:val="32"/>
        </w:rPr>
      </w:pPr>
      <w:bookmarkStart w:id="153" w:name="OLE_LINK96"/>
      <w:r>
        <w:rPr>
          <w:rFonts w:hint="eastAsia" w:eastAsia="楷体" w:cs="楷体"/>
          <w:bCs/>
        </w:rPr>
        <w:t>深化智能化改造。</w:t>
      </w:r>
      <w:r>
        <w:rPr>
          <w:rFonts w:hint="eastAsia" w:cs="Times New Roman"/>
          <w:szCs w:val="32"/>
        </w:rPr>
        <w:t>发展智能制造，加快对传统领域企业实施“智改数转网联”，统筹推动传统产业向数字化、智能化升级，塑造传统产业迭代跃升的全新态势。</w:t>
      </w:r>
      <w:r>
        <w:rPr>
          <w:rFonts w:hint="eastAsia" w:cs="Times New Roman"/>
          <w:b/>
          <w:bCs/>
          <w:szCs w:val="32"/>
        </w:rPr>
        <w:t>夯实智能化基础，</w:t>
      </w:r>
      <w:r>
        <w:rPr>
          <w:rFonts w:hint="eastAsia" w:cs="Times New Roman"/>
          <w:szCs w:val="32"/>
        </w:rPr>
        <w:t>开展“人工智能</w:t>
      </w:r>
      <w:r>
        <w:rPr>
          <w:rFonts w:cs="Times New Roman"/>
          <w:szCs w:val="32"/>
        </w:rPr>
        <w:t>+</w:t>
      </w:r>
      <w:r>
        <w:rPr>
          <w:rFonts w:hint="eastAsia" w:cs="Times New Roman"/>
          <w:szCs w:val="32"/>
        </w:rPr>
        <w:t>”行动，支持传统汽车配件、装备制造、文体设施制造等制造型企业广泛应用智能装备与工业互联网技术，建设区级工业互联网平台，支持企业建设具有自感知、自决策、自执行能力的智能工厂和数字化车间，实现生产数据的实时采集与优化，提升产品一致性与生产效率，“十五五”期间，力争培育数字化车间和智能工厂5—10家。</w:t>
      </w:r>
      <w:r>
        <w:rPr>
          <w:rFonts w:cs="Times New Roman"/>
          <w:b/>
          <w:bCs/>
          <w:szCs w:val="32"/>
        </w:rPr>
        <w:t>强化要素支撑</w:t>
      </w:r>
      <w:r>
        <w:rPr>
          <w:rFonts w:hint="eastAsia" w:cs="Times New Roman"/>
          <w:b/>
          <w:bCs/>
          <w:szCs w:val="32"/>
        </w:rPr>
        <w:t>，</w:t>
      </w:r>
      <w:r>
        <w:rPr>
          <w:rFonts w:hint="eastAsia" w:cs="Times New Roman"/>
          <w:szCs w:val="32"/>
        </w:rPr>
        <w:t>充分用好“两新”政策，</w:t>
      </w:r>
      <w:r>
        <w:rPr>
          <w:rFonts w:cs="Times New Roman"/>
          <w:szCs w:val="32"/>
        </w:rPr>
        <w:t>对接银行、券商产业基金，梳理针对设备更新、技术改造的专项金融产品</w:t>
      </w:r>
      <w:r>
        <w:rPr>
          <w:rFonts w:hint="eastAsia" w:cs="Times New Roman"/>
          <w:szCs w:val="32"/>
        </w:rPr>
        <w:t>，提升资金保障力度；加强培养产教融合复合型人才；加强数据赋能，</w:t>
      </w:r>
      <w:r>
        <w:rPr>
          <w:rFonts w:cs="Times New Roman"/>
          <w:szCs w:val="32"/>
        </w:rPr>
        <w:t>推动公共数据资源有序开放共享，促进产业数据流通利用，提升数据要素对产业智能决策和效率提升的支撑能力。</w:t>
      </w:r>
    </w:p>
    <w:p w14:paraId="5684FA50">
      <w:pPr>
        <w:ind w:firstLine="640"/>
        <w:rPr>
          <w:rFonts w:cs="Times New Roman"/>
          <w:szCs w:val="32"/>
        </w:rPr>
      </w:pPr>
      <w:r>
        <w:rPr>
          <w:rFonts w:hint="eastAsia" w:eastAsia="楷体" w:cs="楷体"/>
          <w:bCs/>
        </w:rPr>
        <w:t>加速绿色化转型。</w:t>
      </w:r>
      <w:r>
        <w:rPr>
          <w:rFonts w:hint="eastAsia" w:cs="Times New Roman"/>
          <w:szCs w:val="32"/>
        </w:rPr>
        <w:t>发展绿色制造，积极应用先进装备和工艺，加快重点行业绿色改造升级，引领产业绿色发展。</w:t>
      </w:r>
      <w:r>
        <w:rPr>
          <w:rFonts w:hint="eastAsia" w:cs="Times New Roman"/>
          <w:b/>
          <w:bCs/>
          <w:szCs w:val="32"/>
        </w:rPr>
        <w:t>完善绿色制造培育机制，</w:t>
      </w:r>
      <w:r>
        <w:rPr>
          <w:rFonts w:hint="eastAsia" w:cs="Times New Roman"/>
          <w:szCs w:val="32"/>
        </w:rPr>
        <w:t>完善“区级—市级—国家级”绿色制造培育机制，扩充区级绿色制造培育库，通过政策宣讲、精准辅导、公益性节能降碳诊断服务等举措，促进企业绿色发展。鼓励支持企业推动工业系统节能，加快实施节能降碳改造，积极推广低碳工艺技术，推动企业低碳发展。</w:t>
      </w:r>
      <w:r>
        <w:rPr>
          <w:rFonts w:cs="Times New Roman"/>
          <w:b/>
          <w:bCs/>
          <w:szCs w:val="32"/>
        </w:rPr>
        <w:t>推进能源替代</w:t>
      </w:r>
      <w:r>
        <w:rPr>
          <w:rFonts w:hint="eastAsia" w:cs="Times New Roman"/>
          <w:b/>
          <w:bCs/>
          <w:szCs w:val="32"/>
        </w:rPr>
        <w:t>，</w:t>
      </w:r>
      <w:r>
        <w:rPr>
          <w:rFonts w:cs="Times New Roman"/>
          <w:szCs w:val="32"/>
        </w:rPr>
        <w:t>鼓励和支持企业积极开发利用太阳能</w:t>
      </w:r>
      <w:r>
        <w:rPr>
          <w:rFonts w:hint="eastAsia" w:cs="Times New Roman"/>
          <w:szCs w:val="32"/>
        </w:rPr>
        <w:t>、风能等</w:t>
      </w:r>
      <w:r>
        <w:rPr>
          <w:rFonts w:cs="Times New Roman"/>
          <w:szCs w:val="32"/>
        </w:rPr>
        <w:t>可再生能源，推动分布式光伏发电在工业园区及重点企业的规模化应用</w:t>
      </w:r>
      <w:r>
        <w:rPr>
          <w:rFonts w:hint="eastAsia" w:cs="Times New Roman"/>
          <w:szCs w:val="32"/>
        </w:rPr>
        <w:t>，逐步提高非化石能源在工业用能中的比重。</w:t>
      </w:r>
      <w:r>
        <w:rPr>
          <w:rFonts w:hint="eastAsia" w:cs="Times New Roman"/>
          <w:b/>
          <w:bCs/>
          <w:szCs w:val="32"/>
        </w:rPr>
        <w:t>发展循环经济，</w:t>
      </w:r>
      <w:r>
        <w:rPr>
          <w:rFonts w:hint="eastAsia" w:cs="Times New Roman"/>
          <w:szCs w:val="32"/>
        </w:rPr>
        <w:t>推进再生资源循环利用，推广节能节水、绿色低碳技术装备，落实再生资源回收利用行业规范管理，培育优质骨干企业，壮大循环产业利用规模。“十五五”期间，以“绿色降碳”为牵引，大力推动工业绿色低碳发展，实现市级以上绿色制造单位和零碳工厂累计数量达到40家以上。</w:t>
      </w:r>
    </w:p>
    <w:p w14:paraId="1035A795">
      <w:pPr>
        <w:ind w:firstLine="640"/>
        <w:rPr>
          <w:szCs w:val="32"/>
        </w:rPr>
      </w:pPr>
      <w:r>
        <w:rPr>
          <w:rFonts w:hint="eastAsia" w:eastAsia="楷体" w:cs="楷体"/>
          <w:bCs/>
        </w:rPr>
        <w:t>促进融合化发展。</w:t>
      </w:r>
      <w:r>
        <w:rPr>
          <w:rFonts w:hint="eastAsia" w:cs="Times New Roman"/>
          <w:szCs w:val="32"/>
        </w:rPr>
        <w:t>以拓展产业功能、提升价值链条、创新业态模式为主线，打破产业边界，增强产业核心竞争力与可持续发展能力。</w:t>
      </w:r>
      <w:r>
        <w:rPr>
          <w:rFonts w:cs="Times New Roman"/>
          <w:b/>
          <w:bCs/>
          <w:szCs w:val="32"/>
        </w:rPr>
        <w:t>深化先进制造业与现代服务业融合</w:t>
      </w:r>
      <w:r>
        <w:rPr>
          <w:rFonts w:hint="eastAsia" w:cs="Times New Roman"/>
          <w:b/>
          <w:bCs/>
          <w:szCs w:val="32"/>
        </w:rPr>
        <w:t>，</w:t>
      </w:r>
      <w:r>
        <w:rPr>
          <w:rFonts w:hint="eastAsia"/>
          <w:szCs w:val="32"/>
        </w:rPr>
        <w:t>引导装备制造、服装制造、家居制造等消费品制造型企业，从提供产品向提供“产品</w:t>
      </w:r>
      <w:r>
        <w:rPr>
          <w:szCs w:val="32"/>
        </w:rPr>
        <w:t>+</w:t>
      </w:r>
      <w:r>
        <w:rPr>
          <w:rFonts w:hint="eastAsia"/>
          <w:szCs w:val="32"/>
        </w:rPr>
        <w:t>服务”整体解决方案转变，支持制造企业拓展科技研发、工业设计、检验检测、品牌营销等生产性服务业，催生新的业务增长极。</w:t>
      </w:r>
      <w:r>
        <w:rPr>
          <w:rFonts w:hint="eastAsia"/>
          <w:b/>
          <w:bCs/>
          <w:szCs w:val="32"/>
        </w:rPr>
        <w:t>鼓励产业链上下游融合发展</w:t>
      </w:r>
      <w:r>
        <w:rPr>
          <w:rFonts w:hint="eastAsia"/>
          <w:b/>
          <w:szCs w:val="32"/>
        </w:rPr>
        <w:t>，</w:t>
      </w:r>
      <w:r>
        <w:rPr>
          <w:rFonts w:hint="eastAsia"/>
          <w:szCs w:val="32"/>
        </w:rPr>
        <w:t>鼓励行业龙头企业通过构建平台、开放资源等方式，引领产业链上下游中小企业协同发展，打造上下游、产供销协同配套的大中小企业融通发展模式，</w:t>
      </w:r>
      <w:r>
        <w:rPr>
          <w:szCs w:val="32"/>
        </w:rPr>
        <w:t>引导企业共建共享检测认证、物流仓储等公共服务平台，</w:t>
      </w:r>
      <w:r>
        <w:rPr>
          <w:rFonts w:hint="eastAsia"/>
          <w:szCs w:val="32"/>
        </w:rPr>
        <w:t>加强企业间产品技术协同攻关，形成创新协同、产能共享、供应链互通的生态体系。</w:t>
      </w:r>
      <w:r>
        <w:rPr>
          <w:rFonts w:hint="eastAsia" w:cs="Times New Roman"/>
          <w:b/>
          <w:bCs/>
          <w:szCs w:val="32"/>
        </w:rPr>
        <w:t>加强品牌建设，</w:t>
      </w:r>
      <w:r>
        <w:rPr>
          <w:rFonts w:hint="eastAsia" w:cs="Times New Roman"/>
          <w:szCs w:val="32"/>
        </w:rPr>
        <w:t>通过打“情怀牌”、联名知名IP、跨界融合等形式，做强“方家庄家居”“大中服装”“华旗果茶”“黄庄大米”等特色品牌，在细分领域形成全国领先优势。</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7730E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Borders>
              <w:top w:val="single" w:color="000000" w:sz="4" w:space="0"/>
              <w:left w:val="single" w:color="000000" w:sz="4" w:space="0"/>
              <w:bottom w:val="single" w:color="000000" w:sz="4" w:space="0"/>
              <w:right w:val="single" w:color="000000" w:sz="4" w:space="0"/>
            </w:tcBorders>
          </w:tcPr>
          <w:p w14:paraId="3088FD35">
            <w:pPr>
              <w:adjustRightInd w:val="0"/>
              <w:snapToGrid w:val="0"/>
              <w:ind w:firstLine="0" w:firstLineChars="0"/>
              <w:jc w:val="center"/>
              <w:rPr>
                <w:rFonts w:cs="Times New Roman"/>
                <w:b/>
                <w:bCs/>
                <w:sz w:val="30"/>
                <w:szCs w:val="30"/>
              </w:rPr>
            </w:pPr>
            <w:r>
              <w:rPr>
                <w:rFonts w:hint="eastAsia" w:cs="Times New Roman"/>
                <w:b/>
                <w:bCs/>
                <w:sz w:val="30"/>
                <w:szCs w:val="30"/>
              </w:rPr>
              <w:t>专栏</w:t>
            </w:r>
            <w:r>
              <w:rPr>
                <w:rFonts w:cs="Times New Roman"/>
                <w:b/>
                <w:bCs/>
                <w:sz w:val="30"/>
                <w:szCs w:val="30"/>
              </w:rPr>
              <w:t>3</w:t>
            </w:r>
            <w:r>
              <w:rPr>
                <w:rFonts w:hint="eastAsia" w:cs="Times New Roman"/>
                <w:b/>
                <w:bCs/>
                <w:sz w:val="30"/>
                <w:szCs w:val="30"/>
              </w:rPr>
              <w:t xml:space="preserve"> 传统产业转型升级重点领域发展任务</w:t>
            </w:r>
          </w:p>
          <w:p w14:paraId="50BF94BF">
            <w:pPr>
              <w:adjustRightInd w:val="0"/>
              <w:snapToGrid w:val="0"/>
              <w:ind w:firstLine="602"/>
              <w:rPr>
                <w:rFonts w:cs="Times New Roman"/>
                <w:sz w:val="30"/>
                <w:szCs w:val="30"/>
              </w:rPr>
            </w:pPr>
            <w:r>
              <w:rPr>
                <w:rFonts w:hint="eastAsia" w:cs="Times New Roman"/>
                <w:b/>
                <w:bCs/>
                <w:sz w:val="30"/>
                <w:szCs w:val="30"/>
              </w:rPr>
              <w:t>（一）推动文体设施制造业转型升级。</w:t>
            </w:r>
            <w:r>
              <w:rPr>
                <w:rFonts w:hint="eastAsia" w:cs="Times New Roman"/>
                <w:sz w:val="30"/>
                <w:szCs w:val="30"/>
              </w:rPr>
              <w:t>以智能化改造和服务化延伸为主攻方向，支持企业发展智能运动装备、智慧教育文具等新产品，鼓励企业建立覆盖研发设计、生产制造、运营服务、市场反馈的全流程一体化管理模式，实现信息互通、业务协同和价值共创，从单一制造向“制造+服务”转型，打造研发、制造、运营一体化的产业新模式。</w:t>
            </w:r>
          </w:p>
          <w:p w14:paraId="7AFC1C43">
            <w:pPr>
              <w:adjustRightInd w:val="0"/>
              <w:snapToGrid w:val="0"/>
              <w:ind w:firstLine="602"/>
              <w:rPr>
                <w:rFonts w:cs="Times New Roman"/>
                <w:sz w:val="30"/>
                <w:szCs w:val="30"/>
              </w:rPr>
            </w:pPr>
            <w:r>
              <w:rPr>
                <w:rFonts w:hint="eastAsia" w:cs="Times New Roman"/>
                <w:b/>
                <w:bCs/>
                <w:sz w:val="30"/>
                <w:szCs w:val="30"/>
              </w:rPr>
              <w:t>（二）推动服装制造业转型升级。</w:t>
            </w:r>
            <w:r>
              <w:rPr>
                <w:rFonts w:hint="eastAsia" w:cs="Times New Roman"/>
                <w:sz w:val="30"/>
                <w:szCs w:val="30"/>
              </w:rPr>
              <w:t>以时尚化、个性化、绿色化为核心，推动服装企业加快数字化设计、柔性化生产和大规模定制应用，鼓励企业运用直播电商、社交电商等新媒体营销手段，创新营销模式，构建线上线下融合的销售体系。重点培育一批彰显地域特色、文化内涵的原创品牌，提升产品附加值和产业竞争力。支持开发绿色设计产品，促进资源循环利用，提升产业可持续发展水平。</w:t>
            </w:r>
          </w:p>
          <w:p w14:paraId="24B19BC5">
            <w:pPr>
              <w:adjustRightInd w:val="0"/>
              <w:snapToGrid w:val="0"/>
              <w:ind w:firstLine="602"/>
              <w:rPr>
                <w:rFonts w:cs="Times New Roman"/>
                <w:sz w:val="30"/>
                <w:szCs w:val="30"/>
              </w:rPr>
            </w:pPr>
            <w:r>
              <w:rPr>
                <w:rFonts w:hint="eastAsia" w:cs="Times New Roman"/>
                <w:b/>
                <w:bCs/>
                <w:sz w:val="30"/>
                <w:szCs w:val="30"/>
              </w:rPr>
              <w:t>（三）推动家居制造业转型升级。</w:t>
            </w:r>
            <w:r>
              <w:rPr>
                <w:rFonts w:hint="eastAsia" w:cs="Times New Roman"/>
                <w:sz w:val="30"/>
                <w:szCs w:val="30"/>
              </w:rPr>
              <w:t>聚焦绿色化、定制化、智能化发展，引导和支持企业优先采用低碳、可再生、可回收的绿色环保材料，推广应用低挥发性有机物涂料、环保胶粘剂及节能高效生产工艺。鼓励企业开展绿色产品认证和绿色工厂创建，强化全生命周期绿色管理，降低能耗物耗和环境影响，构建绿色制造体系。开发智能家居产品，帮助中小企业降本增效，并用电商直播、跨境电商等新模式拓展销售渠道，构建从个性化设计到规模化定制、再到场景化销售的全链条发展新优势。</w:t>
            </w:r>
          </w:p>
        </w:tc>
      </w:tr>
      <w:bookmarkEnd w:id="152"/>
      <w:bookmarkEnd w:id="153"/>
    </w:tbl>
    <w:p w14:paraId="19D08D3E">
      <w:pPr>
        <w:pStyle w:val="4"/>
        <w:spacing w:before="217" w:after="217"/>
        <w:rPr>
          <w:rFonts w:ascii="宋体" w:hAnsi="宋体"/>
        </w:rPr>
      </w:pPr>
      <w:bookmarkStart w:id="154" w:name="_Toc219068732"/>
      <w:bookmarkStart w:id="155" w:name="_Toc215679957"/>
      <w:bookmarkStart w:id="156" w:name="_Toc212560088"/>
      <w:r>
        <w:rPr>
          <w:rFonts w:hint="eastAsia" w:ascii="宋体" w:hAnsi="宋体"/>
        </w:rPr>
        <w:t xml:space="preserve">第四节 </w:t>
      </w:r>
      <w:bookmarkStart w:id="157" w:name="OLE_LINK102"/>
      <w:r>
        <w:rPr>
          <w:rFonts w:hint="eastAsia" w:ascii="宋体" w:hAnsi="宋体"/>
        </w:rPr>
        <w:t>加快</w:t>
      </w:r>
      <w:r>
        <w:rPr>
          <w:rFonts w:ascii="宋体" w:hAnsi="宋体"/>
        </w:rPr>
        <w:t>现代服务业发展</w:t>
      </w:r>
      <w:bookmarkEnd w:id="154"/>
      <w:bookmarkEnd w:id="155"/>
      <w:bookmarkEnd w:id="156"/>
      <w:bookmarkEnd w:id="157"/>
    </w:p>
    <w:p w14:paraId="55B5D777">
      <w:pPr>
        <w:ind w:firstLine="640"/>
        <w:rPr>
          <w:lang w:bidi="ar"/>
        </w:rPr>
      </w:pPr>
      <w:bookmarkStart w:id="158" w:name="OLE_LINK103"/>
      <w:r>
        <w:rPr>
          <w:rFonts w:hint="eastAsia"/>
          <w:lang w:bidi="ar"/>
        </w:rPr>
        <w:t>强化现代服务业赋能，推动生产性服务业向专业化延伸、生活性服务业向高品质升级，大力发展现代金融、科技服务、电子商务、设计咨询等生产性服务业，壮大平台经济、现代物流等重点产业，着力构建优质高效、结构优化、竞争力强的现代服务产业新体系。</w:t>
      </w:r>
    </w:p>
    <w:p w14:paraId="7209CA1A">
      <w:pPr>
        <w:ind w:firstLine="640"/>
        <w:rPr>
          <w:lang w:bidi="ar"/>
        </w:rPr>
      </w:pPr>
      <w:r>
        <w:rPr>
          <w:rFonts w:hint="eastAsia" w:eastAsia="楷体" w:cs="楷体"/>
          <w:bCs/>
        </w:rPr>
        <w:t>提升商贸服务能级</w:t>
      </w:r>
      <w:bookmarkEnd w:id="158"/>
      <w:r>
        <w:rPr>
          <w:rFonts w:hint="eastAsia" w:eastAsia="楷体" w:cs="楷体"/>
          <w:bCs/>
        </w:rPr>
        <w:t>。</w:t>
      </w:r>
      <w:bookmarkStart w:id="159" w:name="OLE_LINK104"/>
      <w:r>
        <w:rPr>
          <w:rFonts w:hint="eastAsia"/>
          <w:lang w:bidi="ar"/>
        </w:rPr>
        <w:t>以数字化、绿色化、国际化为方向，着力构建“布局合理、业态先进、流通高效、环境优越”的现代化商贸服务体系。</w:t>
      </w:r>
      <w:r>
        <w:rPr>
          <w:rFonts w:hint="eastAsia"/>
          <w:b/>
          <w:bCs/>
          <w:lang w:bidi="ar"/>
        </w:rPr>
        <w:t>打造宝坻新城高端消费集聚区，</w:t>
      </w:r>
      <w:r>
        <w:rPr>
          <w:rFonts w:hint="eastAsia"/>
          <w:lang w:bidi="ar"/>
        </w:rPr>
        <w:t>高标准规划建设站前中央商务区，形成宝坻城市会客厅和消费新地标。</w:t>
      </w:r>
      <w:r>
        <w:rPr>
          <w:rFonts w:hint="eastAsia"/>
          <w:b/>
          <w:bCs/>
          <w:lang w:bidi="ar"/>
        </w:rPr>
        <w:t>创新商贸业态模式</w:t>
      </w:r>
      <w:r>
        <w:rPr>
          <w:rFonts w:hint="eastAsia"/>
          <w:b/>
          <w:lang w:bidi="ar"/>
        </w:rPr>
        <w:t>，</w:t>
      </w:r>
      <w:r>
        <w:rPr>
          <w:rFonts w:hint="eastAsia"/>
          <w:lang w:bidi="ar"/>
        </w:rPr>
        <w:t>大力发展首店经济和品牌经济，积极拓展夜间经济和假日经济，加快发展数字消费和智慧零售，提升消费便捷度</w:t>
      </w:r>
      <w:bookmarkEnd w:id="159"/>
      <w:r>
        <w:rPr>
          <w:rFonts w:hint="eastAsia"/>
          <w:lang w:bidi="ar"/>
        </w:rPr>
        <w:t>。大力发展文化旅游产业，打造宝坻文旅新业态。建立区域商贸合作机制，积极吸引北京区域商贸企业落户宝坻。</w:t>
      </w:r>
    </w:p>
    <w:p w14:paraId="67205D3E">
      <w:pPr>
        <w:ind w:firstLine="640"/>
        <w:rPr>
          <w:lang w:bidi="ar"/>
        </w:rPr>
      </w:pPr>
      <w:bookmarkStart w:id="160" w:name="OLE_LINK108"/>
      <w:r>
        <w:rPr>
          <w:rFonts w:hint="eastAsia" w:eastAsia="楷体" w:cs="楷体"/>
          <w:bCs/>
        </w:rPr>
        <w:t>构建电子商务服务体系</w:t>
      </w:r>
      <w:bookmarkEnd w:id="160"/>
      <w:r>
        <w:rPr>
          <w:rFonts w:hint="eastAsia" w:eastAsia="楷体" w:cs="楷体"/>
          <w:bCs/>
        </w:rPr>
        <w:t>。</w:t>
      </w:r>
      <w:r>
        <w:rPr>
          <w:rFonts w:hint="eastAsia"/>
          <w:lang w:bidi="ar"/>
        </w:rPr>
        <w:t>聚焦服务体系构建、本土企业孵化与全链条整合，赋能农产品与工业品拓市升级，联动文旅、跨境等多元场景，打造兼具活力与竞争力的电商产业生态。</w:t>
      </w:r>
      <w:r>
        <w:rPr>
          <w:rFonts w:hint="eastAsia"/>
          <w:b/>
          <w:bCs/>
          <w:lang w:bidi="ar"/>
        </w:rPr>
        <w:t>构建电商直播服务体系，</w:t>
      </w:r>
      <w:r>
        <w:rPr>
          <w:rFonts w:hint="eastAsia"/>
          <w:lang w:bidi="ar"/>
        </w:rPr>
        <w:t>以强化产业生态、赋能实体经济为核心，系统构建具有区域竞争力的直播电商服务体系，</w:t>
      </w:r>
      <w:bookmarkStart w:id="161" w:name="OLE_LINK109"/>
      <w:r>
        <w:rPr>
          <w:rFonts w:hint="eastAsia"/>
          <w:lang w:bidi="ar"/>
        </w:rPr>
        <w:t>形成“本土培育</w:t>
      </w:r>
      <w:r>
        <w:rPr>
          <w:lang w:bidi="ar"/>
        </w:rPr>
        <w:t>+</w:t>
      </w:r>
      <w:r>
        <w:rPr>
          <w:rFonts w:hint="eastAsia"/>
          <w:lang w:bidi="ar"/>
        </w:rPr>
        <w:t>外部引进”的主体成长格局</w:t>
      </w:r>
      <w:bookmarkEnd w:id="161"/>
      <w:r>
        <w:rPr>
          <w:rFonts w:hint="eastAsia"/>
          <w:lang w:bidi="ar"/>
        </w:rPr>
        <w:t>。</w:t>
      </w:r>
      <w:bookmarkStart w:id="162" w:name="OLE_LINK110"/>
      <w:r>
        <w:rPr>
          <w:rFonts w:hint="eastAsia"/>
          <w:b/>
          <w:bCs/>
          <w:lang w:bidi="ar"/>
        </w:rPr>
        <w:t>实施本土企业孵化工程，</w:t>
      </w:r>
      <w:r>
        <w:rPr>
          <w:rFonts w:hint="eastAsia"/>
          <w:lang w:bidi="ar"/>
        </w:rPr>
        <w:t>分层培育农民主播、企业直播团队</w:t>
      </w:r>
      <w:bookmarkEnd w:id="162"/>
      <w:r>
        <w:rPr>
          <w:rFonts w:hint="eastAsia"/>
          <w:lang w:bidi="ar"/>
        </w:rPr>
        <w:t>，拓展农产品销售渠道，重点在黄庄镇、八门城镇、大钟庄镇、王卜庄镇、新安镇等地打造农产品直播基地，推广小站稻、“三辣”等地理标志农产品。在宝坻经济开发区、九园工业园搭建工业品电商专属运营矩阵，助力本土工业品打破地域限制，融入全国产业链供应链体系。</w:t>
      </w:r>
      <w:r>
        <w:rPr>
          <w:rFonts w:hint="eastAsia"/>
          <w:b/>
          <w:bCs/>
          <w:lang w:bidi="ar"/>
        </w:rPr>
        <w:t>加强链式整合，</w:t>
      </w:r>
      <w:r>
        <w:rPr>
          <w:rFonts w:hint="eastAsia"/>
          <w:lang w:bidi="ar"/>
        </w:rPr>
        <w:t>围绕供应链开发、物流数据共享等方面进行创新，建立产品溯源与质量管控机制，联动本地企业与服务机构，实现产业上下游高效协同。</w:t>
      </w:r>
    </w:p>
    <w:p w14:paraId="20A49364">
      <w:pPr>
        <w:ind w:firstLine="640"/>
        <w:rPr>
          <w:lang w:bidi="ar"/>
        </w:rPr>
      </w:pPr>
      <w:bookmarkStart w:id="163" w:name="OLE_LINK111"/>
      <w:r>
        <w:rPr>
          <w:rFonts w:hint="eastAsia" w:eastAsia="楷体" w:cs="楷体"/>
          <w:bCs/>
        </w:rPr>
        <w:t>壮大现代物流产业规模</w:t>
      </w:r>
      <w:bookmarkEnd w:id="163"/>
      <w:r>
        <w:rPr>
          <w:rFonts w:hint="eastAsia" w:eastAsia="楷体" w:cs="楷体"/>
          <w:bCs/>
        </w:rPr>
        <w:t>。</w:t>
      </w:r>
      <w:r>
        <w:rPr>
          <w:rFonts w:hint="eastAsia"/>
          <w:lang w:bidi="ar"/>
        </w:rPr>
        <w:t>以构建高效协同、城乡贯通、绿色智能的现代商贸物流体系为核心，通过壮大物流产业规模、增强供需对接能力、完善乡村流通网络，全面激活商贸物流发展动能。</w:t>
      </w:r>
      <w:r>
        <w:rPr>
          <w:rFonts w:hint="eastAsia"/>
          <w:b/>
          <w:lang w:bidi="ar"/>
        </w:rPr>
        <w:t>提升</w:t>
      </w:r>
      <w:r>
        <w:rPr>
          <w:b/>
          <w:bCs/>
          <w:lang w:bidi="ar"/>
        </w:rPr>
        <w:t>现代物流产业</w:t>
      </w:r>
      <w:r>
        <w:rPr>
          <w:rFonts w:hint="eastAsia"/>
          <w:b/>
          <w:bCs/>
          <w:lang w:bidi="ar"/>
        </w:rPr>
        <w:t>能级，</w:t>
      </w:r>
      <w:r>
        <w:rPr>
          <w:rFonts w:hint="eastAsia"/>
          <w:lang w:bidi="ar"/>
        </w:rPr>
        <w:t>全面推进物流业与农业、制造业、商贸业深度融合发展，推进物流设施和服务的全流程绿色化、数智化、标准化、一体化提升改造。</w:t>
      </w:r>
      <w:bookmarkStart w:id="164" w:name="OLE_LINK114"/>
      <w:r>
        <w:rPr>
          <w:rFonts w:hint="eastAsia"/>
          <w:b/>
          <w:bCs/>
          <w:lang w:bidi="ar"/>
        </w:rPr>
        <w:t>增强流通保供能力</w:t>
      </w:r>
      <w:r>
        <w:rPr>
          <w:rFonts w:hint="eastAsia"/>
          <w:b/>
          <w:lang w:bidi="ar"/>
        </w:rPr>
        <w:t>，</w:t>
      </w:r>
      <w:r>
        <w:rPr>
          <w:rFonts w:hint="eastAsia"/>
          <w:lang w:bidi="ar"/>
        </w:rPr>
        <w:t>完善物流配送网络，优化运输路线，提高物流效率</w:t>
      </w:r>
      <w:bookmarkEnd w:id="164"/>
      <w:r>
        <w:rPr>
          <w:rFonts w:hint="eastAsia"/>
          <w:lang w:bidi="ar"/>
        </w:rPr>
        <w:t>，降低物流成本。积极培育新型流通主体，提升流通环节的组织化程度。</w:t>
      </w:r>
      <w:r>
        <w:rPr>
          <w:rFonts w:hint="eastAsia"/>
          <w:b/>
          <w:bCs/>
          <w:lang w:bidi="ar"/>
        </w:rPr>
        <w:t>完善农村商贸流通体系</w:t>
      </w:r>
      <w:r>
        <w:rPr>
          <w:rFonts w:hint="eastAsia"/>
          <w:b/>
          <w:lang w:bidi="ar"/>
        </w:rPr>
        <w:t>，</w:t>
      </w:r>
      <w:r>
        <w:rPr>
          <w:rFonts w:hint="eastAsia"/>
          <w:lang w:bidi="ar"/>
        </w:rPr>
        <w:t>推动乡村生活服务圈配建邮政快递服务场所和设施，打通“消费品、工业品下行，农产品上行”的双向物流通道，支持传统批发零售企业数字化转型，实现货物的精准配送和实时跟踪，提高物流效率。</w:t>
      </w:r>
    </w:p>
    <w:p w14:paraId="22791B88">
      <w:pPr>
        <w:ind w:firstLine="640"/>
        <w:rPr>
          <w:lang w:bidi="ar"/>
        </w:rPr>
      </w:pPr>
      <w:bookmarkStart w:id="165" w:name="OLE_LINK112"/>
      <w:r>
        <w:rPr>
          <w:rFonts w:hint="eastAsia" w:eastAsia="楷体" w:cs="楷体"/>
          <w:bCs/>
        </w:rPr>
        <w:t>提升科技服务效能</w:t>
      </w:r>
      <w:bookmarkEnd w:id="165"/>
      <w:r>
        <w:rPr>
          <w:rFonts w:hint="eastAsia" w:eastAsia="楷体" w:cs="楷体"/>
          <w:bCs/>
        </w:rPr>
        <w:t>。</w:t>
      </w:r>
      <w:r>
        <w:rPr>
          <w:rFonts w:hint="eastAsia"/>
          <w:lang w:bidi="ar"/>
        </w:rPr>
        <w:t>聚焦科技研发和新质生产力培育，打造新质服务业态，积极发展研发服务、检验检测认证服务、设计咨询服务等相关产业。</w:t>
      </w:r>
      <w:r>
        <w:rPr>
          <w:rFonts w:hint="eastAsia"/>
          <w:b/>
          <w:bCs/>
          <w:lang w:bidi="ar"/>
        </w:rPr>
        <w:t>大力发展平台经济，</w:t>
      </w:r>
      <w:r>
        <w:rPr>
          <w:rFonts w:hint="eastAsia"/>
          <w:lang w:bidi="ar"/>
        </w:rPr>
        <w:t>强化创新平台打造，提升区域科技创新能力，实现科技赋能，聚焦</w:t>
      </w:r>
      <w:r>
        <w:rPr>
          <w:lang w:bidi="ar"/>
        </w:rPr>
        <w:t>“</w:t>
      </w:r>
      <w:r>
        <w:rPr>
          <w:rFonts w:hint="eastAsia"/>
          <w:lang w:bidi="ar"/>
        </w:rPr>
        <w:t>平台</w:t>
      </w:r>
      <w:r>
        <w:rPr>
          <w:lang w:bidi="ar"/>
        </w:rPr>
        <w:t>+”</w:t>
      </w:r>
      <w:r>
        <w:rPr>
          <w:rFonts w:hint="eastAsia"/>
          <w:lang w:bidi="ar"/>
        </w:rPr>
        <w:t>产业深度融合，发展工业互联网平台，鼓励平台企业为区内企业提供供应链管理、数字营销、协同制造等服务，支持发展线上线下结合的新业态、新模式，赋能传统产业转型升级。</w:t>
      </w:r>
      <w:bookmarkStart w:id="166" w:name="OLE_LINK113"/>
      <w:r>
        <w:rPr>
          <w:rFonts w:hint="eastAsia"/>
          <w:b/>
          <w:bCs/>
          <w:lang w:bidi="ar"/>
        </w:rPr>
        <w:t>提升设计、咨询服务能力，</w:t>
      </w:r>
      <w:r>
        <w:rPr>
          <w:rFonts w:hint="eastAsia"/>
          <w:lang w:bidi="ar"/>
        </w:rPr>
        <w:t>围绕工业设计、工程咨询、管理咨询等重点领域，加强与区内高端装备制造、新能源新材料等主导产业深度融合，加强制造型企业拓展设计、咨询等新业务，由制造功能向服务功能延伸。</w:t>
      </w:r>
      <w:r>
        <w:rPr>
          <w:rFonts w:hint="eastAsia"/>
          <w:b/>
          <w:bCs/>
          <w:lang w:bidi="ar"/>
        </w:rPr>
        <w:t>强化检验检测认证，</w:t>
      </w:r>
      <w:r>
        <w:rPr>
          <w:rFonts w:hint="eastAsia"/>
          <w:lang w:bidi="ar"/>
        </w:rPr>
        <w:t>重点培育发展一批具有全过程、全产业链、全生命周期服务能力的检验检测认证机构。支持检验检测与认证一体化发展，鼓励机构布局“数字</w:t>
      </w:r>
      <w:r>
        <w:rPr>
          <w:lang w:bidi="ar"/>
        </w:rPr>
        <w:t>+</w:t>
      </w:r>
      <w:r>
        <w:rPr>
          <w:rFonts w:hint="eastAsia"/>
          <w:lang w:bidi="ar"/>
        </w:rPr>
        <w:t>检验检测”新业态。</w:t>
      </w:r>
    </w:p>
    <w:p w14:paraId="0EAA89CB">
      <w:pPr>
        <w:ind w:firstLine="640"/>
        <w:rPr>
          <w:lang w:bidi="ar"/>
        </w:rPr>
      </w:pPr>
      <w:r>
        <w:rPr>
          <w:rFonts w:hint="eastAsia" w:eastAsia="楷体" w:cs="楷体"/>
          <w:bCs/>
        </w:rPr>
        <w:t>加大现代金融服务力度</w:t>
      </w:r>
      <w:bookmarkEnd w:id="166"/>
      <w:r>
        <w:rPr>
          <w:rFonts w:hint="eastAsia" w:eastAsia="楷体" w:cs="楷体"/>
          <w:bCs/>
        </w:rPr>
        <w:t>。</w:t>
      </w:r>
      <w:bookmarkStart w:id="167" w:name="OLE_LINK116"/>
      <w:r>
        <w:rPr>
          <w:rFonts w:hint="eastAsia"/>
          <w:lang w:bidi="ar"/>
        </w:rPr>
        <w:t>以“金融‘活水’润泽宝坻”为宗旨，以科技金融、绿色金融、普惠金融为重点发展方向，着力构建主体多元、产品丰富、功能互补、风险可控的金融服务体系。</w:t>
      </w:r>
      <w:r>
        <w:rPr>
          <w:rFonts w:hint="eastAsia"/>
          <w:b/>
          <w:bCs/>
          <w:lang w:bidi="ar"/>
        </w:rPr>
        <w:t>加强科技金融与制造业深度融合</w:t>
      </w:r>
      <w:bookmarkEnd w:id="167"/>
      <w:r>
        <w:rPr>
          <w:rFonts w:hint="eastAsia"/>
          <w:b/>
          <w:bCs/>
          <w:lang w:bidi="ar"/>
        </w:rPr>
        <w:t>，</w:t>
      </w:r>
      <w:r>
        <w:rPr>
          <w:rFonts w:hint="eastAsia"/>
          <w:lang w:bidi="ar"/>
        </w:rPr>
        <w:t>鼓励和支持金融机构在京津中关村科技城设立科技支行或科技金融事业部，大力推广新质贷款产品，加快设立科创母基金，引导社会资本向科技创新领域集聚，加快中国邮政储蓄银行天津宝坻后台服务基地等项目建设。</w:t>
      </w:r>
      <w:r>
        <w:rPr>
          <w:rFonts w:hint="eastAsia"/>
          <w:b/>
          <w:bCs/>
          <w:lang w:bidi="ar"/>
        </w:rPr>
        <w:t>创新绿色金融产品与服务，</w:t>
      </w:r>
      <w:r>
        <w:rPr>
          <w:rFonts w:hint="eastAsia"/>
          <w:lang w:bidi="ar"/>
        </w:rPr>
        <w:t>推广节能环保项目特许经营权质押贷、排污权质押贷、碳排放权抵押贷款等，加快构建绿色金融组织体系。</w:t>
      </w:r>
      <w:r>
        <w:rPr>
          <w:rFonts w:hint="eastAsia"/>
          <w:b/>
          <w:bCs/>
          <w:lang w:bidi="ar"/>
        </w:rPr>
        <w:t>实施普惠金融精准服务，</w:t>
      </w:r>
      <w:r>
        <w:rPr>
          <w:rFonts w:hint="eastAsia"/>
          <w:lang w:bidi="ar"/>
        </w:rPr>
        <w:t>用好普惠小微贷款支持工具，发展农村数字普惠金融，保障创业就业、教育、养老、医疗等领域的合理金融需求，完善民生金融服务。</w:t>
      </w:r>
    </w:p>
    <w:p w14:paraId="5F9D1C3A">
      <w:pPr>
        <w:pStyle w:val="4"/>
        <w:spacing w:before="217" w:after="217"/>
        <w:rPr>
          <w:rFonts w:ascii="宋体" w:hAnsi="宋体"/>
        </w:rPr>
      </w:pPr>
      <w:bookmarkStart w:id="168" w:name="_Toc219068733"/>
      <w:r>
        <w:rPr>
          <w:rFonts w:hint="eastAsia" w:ascii="宋体" w:hAnsi="宋体"/>
        </w:rPr>
        <w:t>第五节 筑牢开发区经济基本盘</w:t>
      </w:r>
      <w:bookmarkEnd w:id="168"/>
    </w:p>
    <w:p w14:paraId="4ED7C412">
      <w:pPr>
        <w:ind w:firstLine="640"/>
      </w:pPr>
      <w:r>
        <w:rPr>
          <w:rFonts w:hint="eastAsia" w:eastAsia="楷体" w:cs="楷体"/>
          <w:szCs w:val="32"/>
        </w:rPr>
        <w:t>优化开发区空间布局。</w:t>
      </w:r>
      <w:r>
        <w:rPr>
          <w:rFonts w:hint="eastAsia" w:cs="宋体"/>
          <w:szCs w:val="32"/>
        </w:rPr>
        <w:t>深化开发区管理制度改革，建立健全与开发区功能定位和高质量发展相适应的高效管理体制。加强宝坻经济开发区发展统筹规划，科学合理优化整合区域布局，进一步调整完善园区控规，推进园区土地征收及项目开发建设。提高土地集约利用水平，积极盘活闲置土</w:t>
      </w:r>
      <w:r>
        <w:rPr>
          <w:rFonts w:hint="eastAsia" w:cs="仿宋_GB2312"/>
          <w:szCs w:val="32"/>
        </w:rPr>
        <w:t>地资源，加快低端企业“腾笼换鸟”步伐。</w:t>
      </w:r>
      <w:r>
        <w:rPr>
          <w:rFonts w:hint="eastAsia" w:cs="宋体"/>
          <w:szCs w:val="32"/>
        </w:rPr>
        <w:t>结合闲置低效用地状况，做到一地一案，一企一策。</w:t>
      </w:r>
      <w:r>
        <w:rPr>
          <w:rFonts w:hint="eastAsia"/>
          <w:szCs w:val="32"/>
        </w:rPr>
        <w:t>推动产业园区产城服融合发展。适度增加居住、</w:t>
      </w:r>
      <w:r>
        <w:rPr>
          <w:rFonts w:hint="eastAsia"/>
        </w:rPr>
        <w:t>公共空间和公共设施配套，重点补齐教育、医疗等城市公共服务短板，协调居住、就业、服务和游憩等空间关系。</w:t>
      </w:r>
    </w:p>
    <w:p w14:paraId="5789063E">
      <w:pPr>
        <w:ind w:firstLine="640"/>
      </w:pPr>
      <w:r>
        <w:rPr>
          <w:rFonts w:hint="eastAsia" w:eastAsia="楷体" w:cs="楷体"/>
          <w:szCs w:val="32"/>
        </w:rPr>
        <w:t>发挥产业集群效应。</w:t>
      </w:r>
      <w:r>
        <w:rPr>
          <w:rFonts w:hint="eastAsia"/>
        </w:rPr>
        <w:t>明晰园区产业发展方向和定位，构建错位发展、功能联动的产业布局。</w:t>
      </w:r>
      <w:r>
        <w:rPr>
          <w:rFonts w:hint="eastAsia"/>
          <w:b/>
          <w:bCs/>
        </w:rPr>
        <w:t>宝坻经济开发区九园工业园，</w:t>
      </w:r>
      <w:r>
        <w:rPr>
          <w:rFonts w:hint="eastAsia"/>
        </w:rPr>
        <w:t>重点发展高储能和关键电子材料制造、智能制造装备及通用专用设备、风电装备制造、电梯装备制造、锂电池等产业。</w:t>
      </w:r>
      <w:r>
        <w:rPr>
          <w:rFonts w:hint="eastAsia"/>
          <w:b/>
          <w:bCs/>
        </w:rPr>
        <w:t>宝坻经济开发区</w:t>
      </w:r>
      <w:r>
        <w:rPr>
          <w:rFonts w:hint="eastAsia"/>
          <w:b/>
        </w:rPr>
        <w:t>天宝工业园</w:t>
      </w:r>
      <w:r>
        <w:rPr>
          <w:rFonts w:hint="eastAsia"/>
          <w:b/>
          <w:bCs/>
        </w:rPr>
        <w:t>，</w:t>
      </w:r>
      <w:r>
        <w:rPr>
          <w:rFonts w:hint="eastAsia"/>
        </w:rPr>
        <w:t>重点发展汽车关键零部件、智能制造装备及通用专用设备、医疗器械、特种材料等产业。</w:t>
      </w:r>
      <w:r>
        <w:rPr>
          <w:rFonts w:hint="eastAsia"/>
          <w:b/>
          <w:bCs/>
        </w:rPr>
        <w:t>宝坻经济开发区口东工业园，</w:t>
      </w:r>
      <w:r>
        <w:rPr>
          <w:rFonts w:hint="eastAsia"/>
        </w:rPr>
        <w:t>重点发展智能制造装备、汽车关键零部件、纳米材料等产业。</w:t>
      </w:r>
      <w:r>
        <w:rPr>
          <w:rFonts w:hint="eastAsia"/>
          <w:b/>
          <w:bCs/>
        </w:rPr>
        <w:t>宝坻经济开发区潮南产业园，</w:t>
      </w:r>
      <w:r>
        <w:rPr>
          <w:rFonts w:hint="eastAsia"/>
        </w:rPr>
        <w:t>重点发展电子商务、文化创意等产业。</w:t>
      </w:r>
    </w:p>
    <w:p w14:paraId="2B6BF556">
      <w:pPr>
        <w:ind w:firstLine="640"/>
        <w:rPr>
          <w:lang w:bidi="ar"/>
        </w:rPr>
      </w:pPr>
      <w:r>
        <w:rPr>
          <w:rFonts w:hint="eastAsia" w:eastAsia="楷体" w:cs="楷体"/>
          <w:szCs w:val="32"/>
        </w:rPr>
        <w:t>提升产业园区能级。</w:t>
      </w:r>
      <w:r>
        <w:rPr>
          <w:rFonts w:hint="eastAsia"/>
        </w:rPr>
        <w:t>积极创建国家级经济技术开发区，着力提升对外开放、科技创新、绿色发展、统筹协调水平和发展质量。</w:t>
      </w:r>
      <w:r>
        <w:rPr>
          <w:rFonts w:hint="eastAsia"/>
          <w:b/>
          <w:bCs/>
        </w:rPr>
        <w:t>加大外资招引力度</w:t>
      </w:r>
      <w:r>
        <w:rPr>
          <w:rFonts w:hint="eastAsia"/>
          <w:b/>
        </w:rPr>
        <w:t>，</w:t>
      </w:r>
      <w:r>
        <w:rPr>
          <w:rFonts w:cs="宋体"/>
          <w:szCs w:val="32"/>
        </w:rPr>
        <w:t>拓展投资促进渠道</w:t>
      </w:r>
      <w:r>
        <w:rPr>
          <w:rFonts w:hint="eastAsia" w:cs="宋体"/>
          <w:szCs w:val="32"/>
        </w:rPr>
        <w:t>，实施“走出去、引进来”战略，积极组织园区企业参加进博会等国际性、专业性展会。优化外商投资环境，加大吸引外商投资力度，鼓励外资企业再投资，</w:t>
      </w:r>
      <w:r>
        <w:rPr>
          <w:rFonts w:hint="eastAsia"/>
        </w:rPr>
        <w:t>加强国际经贸合作</w:t>
      </w:r>
      <w:r>
        <w:rPr>
          <w:rFonts w:hint="eastAsia" w:cs="宋体"/>
          <w:szCs w:val="32"/>
        </w:rPr>
        <w:t>。促进外资向实体经济集聚，不断加大先进制造业、战略性新兴产业、现代服务业等产业利用外资力度。</w:t>
      </w:r>
      <w:r>
        <w:rPr>
          <w:rFonts w:hint="eastAsia" w:cs="宋体"/>
          <w:b/>
          <w:bCs/>
          <w:szCs w:val="32"/>
        </w:rPr>
        <w:t>提升科技创新能级，</w:t>
      </w:r>
      <w:r>
        <w:rPr>
          <w:rFonts w:hint="eastAsia" w:cs="宋体"/>
          <w:szCs w:val="32"/>
        </w:rPr>
        <w:t>加快创新载体平台建设，打造标准级和卓越级孵化器。推动北大科技园、九园、口东市级孵化器申报标准级孵化器。全面落实更加积极有效的人才政策，吸引集聚创新人才。</w:t>
      </w:r>
      <w:r>
        <w:rPr>
          <w:rFonts w:hint="eastAsia"/>
        </w:rPr>
        <w:t>聚焦创新型企业梯度培育，加大对“专精特新”中小企业、高新技术企业、国家科技型中小企业培育力度。深入挖掘企业创新需求、对接创新资源，提升企业自主创新能力。</w:t>
      </w:r>
      <w:r>
        <w:rPr>
          <w:rFonts w:hint="eastAsia" w:cs="宋体"/>
          <w:b/>
          <w:bCs/>
          <w:szCs w:val="32"/>
        </w:rPr>
        <w:t>提升绿色发展水平，</w:t>
      </w:r>
      <w:r>
        <w:rPr>
          <w:rFonts w:hint="eastAsia" w:cs="宋体"/>
          <w:szCs w:val="32"/>
        </w:rPr>
        <w:t>打造绿色低碳产业集群。全面推进园区内绿色低碳制造，大力推动传统产业绿色化升级改造，促进工业能源消费低碳化，增强企业节能降耗理念。</w:t>
      </w:r>
      <w:r>
        <w:rPr>
          <w:rFonts w:hint="eastAsia" w:cs="宋体"/>
          <w:b/>
          <w:bCs/>
          <w:szCs w:val="32"/>
        </w:rPr>
        <w:t>强化园区合作共建，</w:t>
      </w:r>
      <w:r>
        <w:rPr>
          <w:rFonts w:hint="eastAsia" w:cs="宋体"/>
          <w:szCs w:val="32"/>
        </w:rPr>
        <w:t>探索与中西部国家级经开区</w:t>
      </w:r>
      <w:r>
        <w:rPr>
          <w:rFonts w:cs="宋体"/>
          <w:szCs w:val="32"/>
        </w:rPr>
        <w:t>通过合作</w:t>
      </w:r>
      <w:r>
        <w:rPr>
          <w:rFonts w:hint="eastAsia" w:cs="宋体"/>
          <w:szCs w:val="32"/>
        </w:rPr>
        <w:t>共建</w:t>
      </w:r>
      <w:r>
        <w:rPr>
          <w:rFonts w:cs="宋体"/>
          <w:szCs w:val="32"/>
        </w:rPr>
        <w:t>方式建设</w:t>
      </w:r>
      <w:r>
        <w:rPr>
          <w:rFonts w:hint="eastAsia" w:cs="宋体"/>
          <w:szCs w:val="32"/>
        </w:rPr>
        <w:t>产业合作载体</w:t>
      </w:r>
      <w:r>
        <w:rPr>
          <w:rFonts w:cs="宋体"/>
          <w:szCs w:val="32"/>
        </w:rPr>
        <w:t>，</w:t>
      </w:r>
      <w:r>
        <w:rPr>
          <w:rFonts w:hint="eastAsia" w:cs="宋体"/>
          <w:szCs w:val="32"/>
        </w:rPr>
        <w:t>开展</w:t>
      </w:r>
      <w:r>
        <w:rPr>
          <w:rFonts w:cs="宋体"/>
          <w:szCs w:val="32"/>
        </w:rPr>
        <w:t>援疆、援藏、援助边</w:t>
      </w:r>
      <w:r>
        <w:rPr>
          <w:rFonts w:hint="eastAsia" w:cs="宋体"/>
          <w:szCs w:val="32"/>
        </w:rPr>
        <w:t>（跨）</w:t>
      </w:r>
      <w:r>
        <w:rPr>
          <w:rFonts w:cs="宋体"/>
          <w:szCs w:val="32"/>
        </w:rPr>
        <w:t>境</w:t>
      </w:r>
      <w:r>
        <w:rPr>
          <w:rFonts w:hint="eastAsia" w:cs="宋体"/>
          <w:szCs w:val="32"/>
        </w:rPr>
        <w:t>经贸合作区工作。</w:t>
      </w:r>
    </w:p>
    <w:p w14:paraId="60C044BB">
      <w:pPr>
        <w:ind w:firstLine="640"/>
        <w:rPr>
          <w:lang w:bidi="ar"/>
        </w:rPr>
      </w:pPr>
      <w:r>
        <w:rPr>
          <w:lang w:bidi="ar"/>
        </w:rPr>
        <w:br w:type="page"/>
      </w:r>
    </w:p>
    <w:p w14:paraId="77694703">
      <w:pPr>
        <w:pStyle w:val="2"/>
        <w:spacing w:after="435"/>
        <w:rPr>
          <w:rStyle w:val="24"/>
          <w:rFonts w:ascii="宋体" w:hAnsi="宋体"/>
          <w:b w:val="0"/>
          <w:bCs w:val="0"/>
        </w:rPr>
      </w:pPr>
      <w:bookmarkStart w:id="169" w:name="_Toc219068734"/>
      <w:r>
        <w:rPr>
          <w:rStyle w:val="24"/>
          <w:rFonts w:hint="eastAsia" w:ascii="宋体" w:hAnsi="宋体"/>
          <w:b w:val="0"/>
          <w:bCs w:val="0"/>
        </w:rPr>
        <w:t>第四篇</w:t>
      </w:r>
      <w:r>
        <w:rPr>
          <w:rStyle w:val="24"/>
          <w:rFonts w:ascii="宋体" w:hAnsi="宋体"/>
          <w:b w:val="0"/>
          <w:bCs w:val="0"/>
        </w:rPr>
        <w:t xml:space="preserve">  </w:t>
      </w:r>
      <w:bookmarkStart w:id="170" w:name="_Hlk212314667"/>
      <w:r>
        <w:rPr>
          <w:rStyle w:val="24"/>
          <w:rFonts w:hint="eastAsia" w:ascii="宋体" w:hAnsi="宋体"/>
          <w:b w:val="0"/>
          <w:bCs w:val="0"/>
        </w:rPr>
        <w:t>立足大水大绿生态本底，推动乡村全面振兴，加快绿色产业发展，促进农商文体旅深度融合，打造生态宜居、文化繁荣、文旅融合的“水韵胜地”</w:t>
      </w:r>
      <w:bookmarkEnd w:id="169"/>
      <w:bookmarkEnd w:id="170"/>
    </w:p>
    <w:p w14:paraId="22A0A4AA">
      <w:pPr>
        <w:pStyle w:val="3"/>
        <w:spacing w:before="435" w:after="435"/>
        <w:rPr>
          <w:rFonts w:ascii="宋体" w:hAnsi="宋体" w:eastAsia="仿宋_GB2312" w:cs="仿宋_GB2312"/>
          <w:szCs w:val="32"/>
        </w:rPr>
      </w:pPr>
      <w:bookmarkStart w:id="171" w:name="_Toc219068735"/>
      <w:r>
        <w:rPr>
          <w:rFonts w:hint="eastAsia" w:ascii="宋体" w:hAnsi="宋体" w:cs="Times New Roman"/>
        </w:rPr>
        <w:t>第九章</w:t>
      </w:r>
      <w:r>
        <w:rPr>
          <w:rFonts w:ascii="宋体" w:hAnsi="宋体" w:cs="Times New Roman"/>
        </w:rPr>
        <w:t xml:space="preserve">  </w:t>
      </w:r>
      <w:r>
        <w:rPr>
          <w:rFonts w:hint="eastAsia" w:ascii="宋体" w:hAnsi="宋体"/>
        </w:rPr>
        <w:t>优先发展农业农村，深化建设高水平农业强区</w:t>
      </w:r>
      <w:bookmarkEnd w:id="171"/>
    </w:p>
    <w:p w14:paraId="6EEE0F3F">
      <w:pPr>
        <w:ind w:firstLine="640"/>
      </w:pPr>
      <w:r>
        <w:rPr>
          <w:rFonts w:hint="eastAsia"/>
        </w:rPr>
        <w:t>坚持把解决好“三农”问题作为重中之重，以“国家农业高新技术产业示范区创建”工程为引领，推动农业全面升级、农村全面进步、农民全面发展，推动农业大区向农业强区迈进，把宝坻建设成为全国乡村振兴的示范样本。</w:t>
      </w:r>
    </w:p>
    <w:p w14:paraId="0B5746FF">
      <w:pPr>
        <w:pStyle w:val="4"/>
        <w:spacing w:before="217" w:after="217"/>
        <w:rPr>
          <w:rFonts w:ascii="宋体" w:hAnsi="宋体"/>
        </w:rPr>
      </w:pPr>
      <w:bookmarkStart w:id="172" w:name="_Toc219068736"/>
      <w:r>
        <w:rPr>
          <w:rFonts w:hint="eastAsia" w:ascii="宋体" w:hAnsi="宋体"/>
        </w:rPr>
        <w:t>第一节 打造高质高效现代都市型农业</w:t>
      </w:r>
      <w:bookmarkEnd w:id="172"/>
    </w:p>
    <w:p w14:paraId="45808D98">
      <w:pPr>
        <w:ind w:firstLine="640"/>
      </w:pPr>
      <w:r>
        <w:rPr>
          <w:rFonts w:hint="eastAsia"/>
        </w:rPr>
        <w:t>聚焦现代都市型农业发展需求，着眼于质量兴农、科技兴农、绿色兴农、品牌强农，不断增强农产品供给保障能力，推进农业科技创新和成果转化，构建具有本土特色的农业全产业链发展模式，促进农业高质高效发展。</w:t>
      </w:r>
    </w:p>
    <w:p w14:paraId="2C41E8A3">
      <w:pPr>
        <w:ind w:firstLine="640"/>
      </w:pPr>
      <w:r>
        <w:rPr>
          <w:rFonts w:hint="eastAsia" w:eastAsia="楷体"/>
          <w:bCs/>
        </w:rPr>
        <w:t>保障粮食生产安全。</w:t>
      </w:r>
      <w:r>
        <w:rPr>
          <w:rFonts w:hint="eastAsia"/>
          <w:b/>
        </w:rPr>
        <w:t>巩固和提升粮食综合生产能力，</w:t>
      </w:r>
      <w:r>
        <w:rPr>
          <w:rFonts w:hint="eastAsia"/>
        </w:rPr>
        <w:t>紧扣“藏粮于地、藏粮于技”国家战略，扛牢粮食安全政治责任，全面落实中央新一轮千亿斤粮食产能提升要求</w:t>
      </w:r>
      <w:bookmarkStart w:id="173" w:name="_Hlk212385034"/>
      <w:r>
        <w:rPr>
          <w:rFonts w:hint="eastAsia"/>
        </w:rPr>
        <w:t>，确保主要农作物良种覆盖率稳定在9</w:t>
      </w:r>
      <w:r>
        <w:t>9%</w:t>
      </w:r>
      <w:r>
        <w:rPr>
          <w:rFonts w:hint="eastAsia"/>
        </w:rPr>
        <w:t>以上。健全耕地保护长效机制，严守耕地保护红线，坚决遏制耕地“非农化”，防止耕地“非粮化”。持续开展高标准农田建设和粮油作物单产提升行动，</w:t>
      </w:r>
      <w:bookmarkEnd w:id="173"/>
      <w:r>
        <w:rPr>
          <w:rFonts w:hint="eastAsia"/>
        </w:rPr>
        <w:t>系统推进农田地力培育与土壤改良工作，继续开展设施农业建设</w:t>
      </w:r>
      <w:bookmarkStart w:id="174" w:name="_Hlk212385025"/>
      <w:r>
        <w:rPr>
          <w:rFonts w:hint="eastAsia"/>
        </w:rPr>
        <w:t>，到2</w:t>
      </w:r>
      <w:r>
        <w:t>030</w:t>
      </w:r>
      <w:r>
        <w:rPr>
          <w:rFonts w:hint="eastAsia"/>
        </w:rPr>
        <w:t>年，新建和提升改造高标准农田18万亩以上</w:t>
      </w:r>
      <w:bookmarkEnd w:id="174"/>
      <w:r>
        <w:rPr>
          <w:rFonts w:hint="eastAsia"/>
        </w:rPr>
        <w:t>。</w:t>
      </w:r>
      <w:r>
        <w:rPr>
          <w:rFonts w:hint="eastAsia"/>
          <w:b/>
        </w:rPr>
        <w:t>构建多元化食物供给体系，</w:t>
      </w:r>
      <w:r>
        <w:rPr>
          <w:rFonts w:hint="eastAsia"/>
        </w:rPr>
        <w:t>科学规划农业生产空间和乡村生态空间，进一步探索麦辣套种、立体种养等土地复合利用模式，全力打造京津冀绿色中央厨房。</w:t>
      </w:r>
    </w:p>
    <w:p w14:paraId="12FFDC3E">
      <w:pPr>
        <w:ind w:firstLine="640"/>
      </w:pPr>
      <w:r>
        <w:rPr>
          <w:rFonts w:hint="eastAsia" w:eastAsia="楷体"/>
          <w:bCs/>
        </w:rPr>
        <w:t>培育农业新质生产力。</w:t>
      </w:r>
      <w:bookmarkStart w:id="175" w:name="_Hlk212385060"/>
      <w:r>
        <w:rPr>
          <w:rFonts w:hint="eastAsia" w:cs="Times New Roman"/>
          <w:b/>
        </w:rPr>
        <w:t>加强农业科创平台建设，</w:t>
      </w:r>
      <w:r>
        <w:rPr>
          <w:rFonts w:hint="eastAsia"/>
        </w:rPr>
        <w:t>加快农科院</w:t>
      </w:r>
      <w:r>
        <w:t>14个科创平台、农学院16个科创平台科技成果转化，</w:t>
      </w:r>
      <w:r>
        <w:rPr>
          <w:rFonts w:hint="eastAsia"/>
        </w:rPr>
        <w:t>促进</w:t>
      </w:r>
      <w:r>
        <w:t>落宝科创平台效能发挥</w:t>
      </w:r>
      <w:r>
        <w:rPr>
          <w:rFonts w:hint="eastAsia"/>
        </w:rPr>
        <w:t>，加强国家重点实验室、工程研究中心等高端创新平台共创共建</w:t>
      </w:r>
      <w:bookmarkEnd w:id="175"/>
      <w:r>
        <w:rPr>
          <w:rFonts w:hint="eastAsia"/>
        </w:rPr>
        <w:t>，进一步争取分支机构或研究基地设立，推动农村科技小院、产学研创新联盟等农业科技力量创新协同，聚力打好关键核心技术攻坚战，促进良田良种良机良法集成增效。</w:t>
      </w:r>
      <w:r>
        <w:rPr>
          <w:rFonts w:hint="eastAsia"/>
          <w:b/>
        </w:rPr>
        <w:t>创新“农业+”新兴业态，</w:t>
      </w:r>
      <w:r>
        <w:t>拓展低空、</w:t>
      </w:r>
      <w:r>
        <w:rPr>
          <w:rFonts w:hint="eastAsia"/>
        </w:rPr>
        <w:t>大</w:t>
      </w:r>
      <w:r>
        <w:t>数据、人工智能等</w:t>
      </w:r>
      <w:r>
        <w:rPr>
          <w:rFonts w:hint="eastAsia"/>
        </w:rPr>
        <w:t>技术</w:t>
      </w:r>
      <w:r>
        <w:t>应用场景，</w:t>
      </w:r>
      <w:r>
        <w:rPr>
          <w:rFonts w:hint="eastAsia"/>
        </w:rPr>
        <w:t>以</w:t>
      </w:r>
      <w:r>
        <w:t>“农业+低空经济”“农业+大数据”“农业+人工智能”</w:t>
      </w:r>
      <w:r>
        <w:rPr>
          <w:rFonts w:hint="eastAsia"/>
        </w:rPr>
        <w:t>强化农业技术赋能，</w:t>
      </w:r>
      <w:r>
        <w:t>持续推动农业科技成果转化与应用。</w:t>
      </w:r>
    </w:p>
    <w:p w14:paraId="016E80DC">
      <w:pPr>
        <w:ind w:firstLine="640"/>
      </w:pPr>
      <w:r>
        <w:rPr>
          <w:rFonts w:hint="eastAsia" w:eastAsia="楷体"/>
          <w:bCs/>
        </w:rPr>
        <w:t>打造特色优势产业。</w:t>
      </w:r>
      <w:r>
        <w:rPr>
          <w:rFonts w:hint="eastAsia"/>
        </w:rPr>
        <w:t>做好“土特产”文章，做优做强小站稻、宝坻“三辣”、韭菜、稻蟹等特色种养殖业发展，培育具有乡土特色和资源优势的产业体系。</w:t>
      </w:r>
      <w:r>
        <w:rPr>
          <w:rFonts w:hint="eastAsia"/>
          <w:b/>
        </w:rPr>
        <w:t>打造天津市优质小站稻核心生产地，</w:t>
      </w:r>
      <w:bookmarkStart w:id="176" w:name="_Hlk212385117"/>
      <w:r>
        <w:rPr>
          <w:rFonts w:hint="eastAsia"/>
        </w:rPr>
        <w:t>完善小站稻种业“育繁推”一体化发展模式，</w:t>
      </w:r>
      <w:bookmarkEnd w:id="176"/>
      <w:r>
        <w:rPr>
          <w:rFonts w:hint="eastAsia"/>
        </w:rPr>
        <w:t>加强“黄庄洼”小站稻品牌建设，以绿色农业、循环农业、智慧农业发展为重点，不断提升小站稻产业发展水平，到2</w:t>
      </w:r>
      <w:r>
        <w:t>030</w:t>
      </w:r>
      <w:r>
        <w:rPr>
          <w:rFonts w:hint="eastAsia"/>
        </w:rPr>
        <w:t>年，小站稻生产面积稳定在</w:t>
      </w:r>
      <w:r>
        <w:t>45万亩左右</w:t>
      </w:r>
      <w:r>
        <w:rPr>
          <w:rFonts w:hint="eastAsia"/>
        </w:rPr>
        <w:t>，实现</w:t>
      </w:r>
      <w:r>
        <w:t>新</w:t>
      </w:r>
      <w:r>
        <w:rPr>
          <w:rFonts w:hint="eastAsia"/>
        </w:rPr>
        <w:t>增</w:t>
      </w:r>
      <w:r>
        <w:t>品种1</w:t>
      </w:r>
      <w:r>
        <w:rPr>
          <w:rFonts w:hint="eastAsia"/>
        </w:rPr>
        <w:t>—</w:t>
      </w:r>
      <w:r>
        <w:t>2个、良种繁育1000亩</w:t>
      </w:r>
      <w:r>
        <w:rPr>
          <w:rFonts w:hint="eastAsia"/>
        </w:rPr>
        <w:t>。</w:t>
      </w:r>
      <w:r>
        <w:rPr>
          <w:rFonts w:hint="eastAsia"/>
          <w:b/>
        </w:rPr>
        <w:t>打造宝坻“三辣”行业知名品牌，</w:t>
      </w:r>
      <w:bookmarkStart w:id="177" w:name="_Hlk212385140"/>
      <w:r>
        <w:rPr>
          <w:rFonts w:hint="eastAsia"/>
        </w:rPr>
        <w:t>进一步强化龙头带动与科技赋能作用</w:t>
      </w:r>
      <w:bookmarkEnd w:id="177"/>
      <w:r>
        <w:rPr>
          <w:rFonts w:hint="eastAsia"/>
        </w:rPr>
        <w:t>，推广良种选育和绿色技术运用，加强机械化、信息化推动，促进规模化、标准化生产，到2</w:t>
      </w:r>
      <w:r>
        <w:t>030</w:t>
      </w:r>
      <w:r>
        <w:rPr>
          <w:rFonts w:hint="eastAsia"/>
        </w:rPr>
        <w:t>年，新增“三辣”品种</w:t>
      </w:r>
      <w:r>
        <w:t>3个</w:t>
      </w:r>
      <w:r>
        <w:rPr>
          <w:rFonts w:hint="eastAsia"/>
        </w:rPr>
        <w:t>。</w:t>
      </w:r>
    </w:p>
    <w:p w14:paraId="5B4AD3A6">
      <w:pPr>
        <w:ind w:firstLine="640"/>
      </w:pPr>
      <w:r>
        <w:rPr>
          <w:rFonts w:hint="eastAsia" w:eastAsia="楷体"/>
          <w:bCs/>
        </w:rPr>
        <w:t>提升农业产业链韧性。</w:t>
      </w:r>
      <w:r>
        <w:rPr>
          <w:rFonts w:hint="eastAsia" w:cs="Times New Roman"/>
          <w:b/>
        </w:rPr>
        <w:t>促进农业全产业链发展，</w:t>
      </w:r>
      <w:r>
        <w:rPr>
          <w:rFonts w:hint="eastAsia" w:cs="Times New Roman"/>
        </w:rPr>
        <w:t>按照“粮头食尾”“畜头肉尾”“农头工尾”的发展思路，</w:t>
      </w:r>
      <w:bookmarkStart w:id="178" w:name="_Hlk212385166"/>
      <w:r>
        <w:rPr>
          <w:rFonts w:hint="eastAsia"/>
        </w:rPr>
        <w:t>推动实施优势特色产业集群项目，培育农业产业强镇和</w:t>
      </w:r>
      <w:bookmarkEnd w:id="178"/>
      <w:r>
        <w:rPr>
          <w:rFonts w:hint="eastAsia"/>
        </w:rPr>
        <w:t>特色产业专业村。鼓励企业开展农产品精深加工项目，引导加工企业精选原料、精细加工、精美包装，提升农产品加工质量水平。</w:t>
      </w:r>
      <w:r>
        <w:rPr>
          <w:rFonts w:hint="eastAsia"/>
          <w:b/>
        </w:rPr>
        <w:t>推动一二三产业融合发展，</w:t>
      </w:r>
      <w:r>
        <w:rPr>
          <w:rFonts w:hint="eastAsia"/>
        </w:rPr>
        <w:t>加快构建粮经饲统筹、农林牧渔并举、产加销贯通、农文旅融合的现代乡村产业体系，优化实施农村产业融合发展项目，促进农业与健康、养生、养老、旅游等产业融合对接，开发具有创新型功能性的农产品。</w:t>
      </w:r>
      <w:r>
        <w:rPr>
          <w:rFonts w:hint="eastAsia"/>
          <w:b/>
        </w:rPr>
        <w:t>加强农业品牌建设，</w:t>
      </w:r>
      <w:bookmarkStart w:id="179" w:name="_Hlk212385183"/>
      <w:r>
        <w:rPr>
          <w:rFonts w:hint="eastAsia"/>
        </w:rPr>
        <w:t>继续培育特色明显、竞争力强、知名度高“津农精品”品牌</w:t>
      </w:r>
      <w:bookmarkEnd w:id="179"/>
      <w:r>
        <w:rPr>
          <w:rFonts w:hint="eastAsia"/>
        </w:rPr>
        <w:t>，鼓励企业整合产业资源、建立产业规范、开展基地认证，培育“宝坻优品”公用品牌，到2</w:t>
      </w:r>
      <w:r>
        <w:t>030</w:t>
      </w:r>
      <w:r>
        <w:rPr>
          <w:rFonts w:hint="eastAsia"/>
        </w:rPr>
        <w:t>年，推动</w:t>
      </w:r>
      <w:r>
        <w:t>30个</w:t>
      </w:r>
      <w:r>
        <w:rPr>
          <w:rFonts w:hint="eastAsia"/>
        </w:rPr>
        <w:t>“</w:t>
      </w:r>
      <w:r>
        <w:t>津农精品</w:t>
      </w:r>
      <w:r>
        <w:rPr>
          <w:rFonts w:hint="eastAsia"/>
        </w:rPr>
        <w:t>”</w:t>
      </w:r>
      <w:r>
        <w:t>品牌量稳质增</w:t>
      </w:r>
      <w:r>
        <w:rPr>
          <w:rFonts w:hint="eastAsia"/>
        </w:rPr>
        <w:t>。</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517E2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38681FE5">
            <w:pPr>
              <w:adjustRightInd w:val="0"/>
              <w:snapToGrid w:val="0"/>
              <w:ind w:firstLine="21" w:firstLineChars="7"/>
              <w:jc w:val="center"/>
              <w:rPr>
                <w:sz w:val="30"/>
                <w:szCs w:val="30"/>
              </w:rPr>
            </w:pPr>
            <w:r>
              <w:rPr>
                <w:rFonts w:hint="eastAsia"/>
                <w:b/>
                <w:sz w:val="30"/>
                <w:szCs w:val="30"/>
              </w:rPr>
              <w:t>引领工程之七 “国家农业高新技术产业示范区创建”</w:t>
            </w:r>
            <w:r>
              <w:rPr>
                <w:b/>
                <w:sz w:val="30"/>
                <w:szCs w:val="30"/>
              </w:rPr>
              <w:t>工程</w:t>
            </w:r>
          </w:p>
        </w:tc>
      </w:tr>
      <w:tr w14:paraId="6E93F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2" w:hRule="atLeast"/>
          <w:jc w:val="center"/>
        </w:trPr>
        <w:tc>
          <w:tcPr>
            <w:tcW w:w="5000" w:type="pct"/>
          </w:tcPr>
          <w:p w14:paraId="576F5209">
            <w:pPr>
              <w:ind w:firstLine="600"/>
              <w:rPr>
                <w:sz w:val="30"/>
                <w:szCs w:val="30"/>
              </w:rPr>
            </w:pPr>
            <w:r>
              <w:rPr>
                <w:sz w:val="30"/>
                <w:szCs w:val="30"/>
              </w:rPr>
              <w:t>以</w:t>
            </w:r>
            <w:r>
              <w:rPr>
                <w:rFonts w:hint="eastAsia"/>
                <w:sz w:val="30"/>
                <w:szCs w:val="30"/>
              </w:rPr>
              <w:t>农业智能装备为</w:t>
            </w:r>
            <w:r>
              <w:rPr>
                <w:sz w:val="30"/>
                <w:szCs w:val="30"/>
              </w:rPr>
              <w:t>主导产业，</w:t>
            </w:r>
            <w:r>
              <w:rPr>
                <w:rFonts w:hint="eastAsia"/>
                <w:sz w:val="30"/>
                <w:szCs w:val="30"/>
              </w:rPr>
              <w:t>按照“一核引领、一带融合、五区协同”总体布局，打造“科技创新能力强、产业技术水平高、辐射带动广”的国家农业高新技术产业示范区，形成京津冀“以企业为主导、以创新平台为支撑、以前沿技术研发应用为导向”的具有国际影响力的创新与人才高地、现代都市型农业领航区和农业智能装备产业集聚区</w:t>
            </w:r>
            <w:r>
              <w:rPr>
                <w:rFonts w:hint="eastAsia"/>
                <w:bCs/>
                <w:sz w:val="30"/>
                <w:szCs w:val="30"/>
              </w:rPr>
              <w:t>。</w:t>
            </w:r>
          </w:p>
          <w:p w14:paraId="65BA4196">
            <w:pPr>
              <w:ind w:firstLine="602"/>
              <w:rPr>
                <w:sz w:val="30"/>
                <w:szCs w:val="30"/>
              </w:rPr>
            </w:pPr>
            <w:r>
              <w:rPr>
                <w:rFonts w:hint="eastAsia"/>
                <w:b/>
                <w:sz w:val="30"/>
                <w:szCs w:val="30"/>
              </w:rPr>
              <w:t>（一）“一核引领”：农业科技创新核心区。</w:t>
            </w:r>
            <w:r>
              <w:rPr>
                <w:rFonts w:hint="eastAsia"/>
                <w:sz w:val="30"/>
                <w:szCs w:val="30"/>
              </w:rPr>
              <w:t>加快汇聚农业科研机构、高校研发平台、科技创新企业总部等创新主体，搭建农业科技研发、成果转化、技术交易、人才培养、创新创业孵化、合作交流等功能平台，开展生物育种、基因编辑、农业智能装备等研究，带动农业科技水平整体提升。</w:t>
            </w:r>
            <w:r>
              <w:rPr>
                <w:rFonts w:hint="eastAsia"/>
                <w:b/>
                <w:sz w:val="30"/>
                <w:szCs w:val="30"/>
              </w:rPr>
              <w:t>推动前沿科技创新，</w:t>
            </w:r>
            <w:r>
              <w:rPr>
                <w:rFonts w:hint="eastAsia"/>
                <w:sz w:val="30"/>
                <w:szCs w:val="30"/>
              </w:rPr>
              <w:t>积极引导农业科研院所和涉农高校在农高区布局建设科研创新平台，</w:t>
            </w:r>
            <w:r>
              <w:rPr>
                <w:sz w:val="30"/>
                <w:szCs w:val="30"/>
              </w:rPr>
              <w:t>推动中国农科院国际核能育种科创中心、崖州湾国家重点实验室、中国科学院广州能源研究所等高端创新平台落地扎根，</w:t>
            </w:r>
            <w:r>
              <w:rPr>
                <w:rFonts w:hint="eastAsia"/>
                <w:sz w:val="30"/>
                <w:szCs w:val="30"/>
              </w:rPr>
              <w:t>开展功能性食品与营养健康产业研究中心、中国农业机械化研究院宝坻分院等重点项目建设，</w:t>
            </w:r>
            <w:r>
              <w:rPr>
                <w:sz w:val="30"/>
                <w:szCs w:val="30"/>
              </w:rPr>
              <w:t>持续强化天津农学院、天津市水稻研究所等现有平台能级</w:t>
            </w:r>
            <w:r>
              <w:rPr>
                <w:rFonts w:hint="eastAsia"/>
                <w:sz w:val="30"/>
                <w:szCs w:val="30"/>
              </w:rPr>
              <w:t>，到2</w:t>
            </w:r>
            <w:r>
              <w:rPr>
                <w:sz w:val="30"/>
                <w:szCs w:val="30"/>
              </w:rPr>
              <w:t>030</w:t>
            </w:r>
            <w:r>
              <w:rPr>
                <w:rFonts w:hint="eastAsia"/>
                <w:sz w:val="30"/>
                <w:szCs w:val="30"/>
              </w:rPr>
              <w:t>年，省级以上创新平台数量达到4</w:t>
            </w:r>
            <w:r>
              <w:rPr>
                <w:sz w:val="30"/>
                <w:szCs w:val="30"/>
              </w:rPr>
              <w:t>5</w:t>
            </w:r>
            <w:r>
              <w:rPr>
                <w:rFonts w:hint="eastAsia"/>
                <w:sz w:val="30"/>
                <w:szCs w:val="30"/>
              </w:rPr>
              <w:t>个以上、专利授权数1</w:t>
            </w:r>
            <w:r>
              <w:rPr>
                <w:sz w:val="30"/>
                <w:szCs w:val="30"/>
              </w:rPr>
              <w:t>00</w:t>
            </w:r>
            <w:r>
              <w:rPr>
                <w:rFonts w:hint="eastAsia"/>
                <w:sz w:val="30"/>
                <w:szCs w:val="30"/>
              </w:rPr>
              <w:t>个以上。</w:t>
            </w:r>
            <w:r>
              <w:rPr>
                <w:rFonts w:hint="eastAsia"/>
                <w:b/>
                <w:sz w:val="30"/>
                <w:szCs w:val="30"/>
              </w:rPr>
              <w:t>加强科技成果孵化，</w:t>
            </w:r>
            <w:r>
              <w:rPr>
                <w:sz w:val="30"/>
                <w:szCs w:val="30"/>
              </w:rPr>
              <w:t>加快</w:t>
            </w:r>
            <w:r>
              <w:rPr>
                <w:rFonts w:hint="eastAsia"/>
                <w:sz w:val="30"/>
                <w:szCs w:val="30"/>
              </w:rPr>
              <w:t>宝坻低空经济产业基地、智能工业级无人机研发制造与应用示范、智能装备实验基地、太空核育种实验基地、多源种养废物耦合利用集成及示范、城市智慧生态渔仓基地等一批重点项目建设。</w:t>
            </w:r>
            <w:r>
              <w:rPr>
                <w:rFonts w:hint="eastAsia"/>
                <w:b/>
                <w:sz w:val="30"/>
                <w:szCs w:val="30"/>
              </w:rPr>
              <w:t>打造科技创新企业总部，</w:t>
            </w:r>
            <w:r>
              <w:rPr>
                <w:rFonts w:hint="eastAsia"/>
                <w:sz w:val="30"/>
                <w:szCs w:val="30"/>
              </w:rPr>
              <w:t>加快吸引</w:t>
            </w:r>
            <w:r>
              <w:rPr>
                <w:sz w:val="30"/>
                <w:szCs w:val="30"/>
              </w:rPr>
              <w:t>一批央企、总部型企业、涉农高新技术企业</w:t>
            </w:r>
            <w:r>
              <w:rPr>
                <w:rFonts w:hint="eastAsia"/>
                <w:sz w:val="30"/>
                <w:szCs w:val="30"/>
              </w:rPr>
              <w:t>在农高区</w:t>
            </w:r>
            <w:r>
              <w:rPr>
                <w:sz w:val="30"/>
                <w:szCs w:val="30"/>
              </w:rPr>
              <w:t>设立企业总部、二级公司</w:t>
            </w:r>
            <w:r>
              <w:rPr>
                <w:rFonts w:hint="eastAsia"/>
                <w:sz w:val="30"/>
                <w:szCs w:val="30"/>
              </w:rPr>
              <w:t>，吸引国内农副产品加工领域领军企业入驻，到2</w:t>
            </w:r>
            <w:r>
              <w:rPr>
                <w:sz w:val="30"/>
                <w:szCs w:val="30"/>
              </w:rPr>
              <w:t>030</w:t>
            </w:r>
            <w:r>
              <w:rPr>
                <w:rFonts w:hint="eastAsia"/>
                <w:sz w:val="30"/>
                <w:szCs w:val="30"/>
              </w:rPr>
              <w:t>年，高新技术企业数量达到3</w:t>
            </w:r>
            <w:r>
              <w:rPr>
                <w:sz w:val="30"/>
                <w:szCs w:val="30"/>
              </w:rPr>
              <w:t>4</w:t>
            </w:r>
            <w:r>
              <w:rPr>
                <w:rFonts w:hint="eastAsia"/>
                <w:sz w:val="30"/>
                <w:szCs w:val="30"/>
              </w:rPr>
              <w:t>个以上、国家级龙头企业数量7个以上</w:t>
            </w:r>
            <w:r>
              <w:rPr>
                <w:rFonts w:hint="eastAsia"/>
                <w:bCs/>
                <w:sz w:val="30"/>
                <w:szCs w:val="30"/>
              </w:rPr>
              <w:t>。</w:t>
            </w:r>
            <w:r>
              <w:rPr>
                <w:rFonts w:hint="eastAsia"/>
                <w:b/>
                <w:bCs/>
                <w:sz w:val="30"/>
                <w:szCs w:val="30"/>
              </w:rPr>
              <w:t>加快高端人才集聚，</w:t>
            </w:r>
            <w:r>
              <w:rPr>
                <w:rFonts w:hint="eastAsia"/>
                <w:bCs/>
                <w:sz w:val="30"/>
                <w:szCs w:val="30"/>
              </w:rPr>
              <w:t>实施顶尖人才引育计划，强化人才服务保障措施，推动天津农学院在农高区建设新校区，开展</w:t>
            </w:r>
            <w:r>
              <w:rPr>
                <w:rFonts w:hint="eastAsia"/>
                <w:sz w:val="30"/>
                <w:szCs w:val="30"/>
              </w:rPr>
              <w:t>科技人才服务中心、人才发展保障配套等重点项目建设，到2</w:t>
            </w:r>
            <w:r>
              <w:rPr>
                <w:sz w:val="30"/>
                <w:szCs w:val="30"/>
              </w:rPr>
              <w:t>030</w:t>
            </w:r>
            <w:r>
              <w:rPr>
                <w:rFonts w:hint="eastAsia"/>
                <w:sz w:val="30"/>
                <w:szCs w:val="30"/>
              </w:rPr>
              <w:t>年，引进人才数量1</w:t>
            </w:r>
            <w:r>
              <w:rPr>
                <w:sz w:val="30"/>
                <w:szCs w:val="30"/>
              </w:rPr>
              <w:t>024</w:t>
            </w:r>
            <w:r>
              <w:rPr>
                <w:rFonts w:hint="eastAsia"/>
                <w:sz w:val="30"/>
                <w:szCs w:val="30"/>
              </w:rPr>
              <w:t>人以上、培育专业技术人才数量1</w:t>
            </w:r>
            <w:r>
              <w:rPr>
                <w:sz w:val="30"/>
                <w:szCs w:val="30"/>
              </w:rPr>
              <w:t>0000</w:t>
            </w:r>
            <w:r>
              <w:rPr>
                <w:rFonts w:hint="eastAsia"/>
                <w:sz w:val="30"/>
                <w:szCs w:val="30"/>
              </w:rPr>
              <w:t>人以上。</w:t>
            </w:r>
          </w:p>
          <w:p w14:paraId="6C9A1D29">
            <w:pPr>
              <w:ind w:firstLine="602"/>
              <w:rPr>
                <w:sz w:val="30"/>
                <w:szCs w:val="30"/>
              </w:rPr>
            </w:pPr>
            <w:r>
              <w:rPr>
                <w:rFonts w:hint="eastAsia"/>
                <w:b/>
                <w:sz w:val="30"/>
                <w:szCs w:val="30"/>
              </w:rPr>
              <w:t>（二）“一带融合”：潮白河科技振兴和美乡村示范带。</w:t>
            </w:r>
            <w:r>
              <w:rPr>
                <w:rFonts w:hint="eastAsia"/>
                <w:sz w:val="30"/>
                <w:szCs w:val="30"/>
              </w:rPr>
              <w:t>以渔生态小镇和“水木三乡”生态小镇为重点，通过农高区建设赋能乡村振兴，促进</w:t>
            </w:r>
            <w:r>
              <w:rPr>
                <w:rFonts w:hint="eastAsia"/>
                <w:bCs/>
                <w:sz w:val="30"/>
                <w:szCs w:val="30"/>
              </w:rPr>
              <w:t>一二三产业融合发展，构建产城产镇产村融合示范，推动建设国家城乡产业协同发展先行区，</w:t>
            </w:r>
            <w:r>
              <w:rPr>
                <w:sz w:val="30"/>
                <w:szCs w:val="30"/>
              </w:rPr>
              <w:t>打造集生态保护、景观游憩、休闲度假、农业生产、农事体验、文化科普于一体的生态景观长廊。</w:t>
            </w:r>
          </w:p>
          <w:p w14:paraId="7D2E6615">
            <w:pPr>
              <w:ind w:firstLine="602"/>
              <w:rPr>
                <w:b/>
                <w:sz w:val="30"/>
                <w:szCs w:val="30"/>
              </w:rPr>
            </w:pPr>
            <w:r>
              <w:rPr>
                <w:rFonts w:hint="eastAsia"/>
                <w:b/>
                <w:sz w:val="30"/>
                <w:szCs w:val="30"/>
              </w:rPr>
              <w:t>（三）“五区协同”</w:t>
            </w:r>
            <w:r>
              <w:rPr>
                <w:b/>
                <w:sz w:val="30"/>
                <w:szCs w:val="30"/>
              </w:rPr>
              <w:t>：</w:t>
            </w:r>
            <w:r>
              <w:rPr>
                <w:rFonts w:hint="eastAsia"/>
                <w:b/>
                <w:sz w:val="30"/>
                <w:szCs w:val="30"/>
              </w:rPr>
              <w:t>水产健康养殖示范区。</w:t>
            </w:r>
            <w:r>
              <w:rPr>
                <w:sz w:val="30"/>
                <w:szCs w:val="30"/>
              </w:rPr>
              <w:t>建设高标准的水产养殖试验基地，开展水产养殖新品种培育、养殖模式创新、水质调控技术研发等试验示范工作，打造绿色、可持续的水产养殖产业体系。</w:t>
            </w:r>
            <w:r>
              <w:rPr>
                <w:rFonts w:hint="eastAsia"/>
                <w:b/>
                <w:sz w:val="30"/>
                <w:szCs w:val="30"/>
              </w:rPr>
              <w:t>绿色蔬菜种植示范区。</w:t>
            </w:r>
            <w:r>
              <w:rPr>
                <w:sz w:val="30"/>
                <w:szCs w:val="30"/>
              </w:rPr>
              <w:t>提纯复壮地方品种，发展智慧化、设施化、高效化种植</w:t>
            </w:r>
            <w:r>
              <w:rPr>
                <w:rFonts w:hint="eastAsia"/>
                <w:sz w:val="30"/>
                <w:szCs w:val="30"/>
              </w:rPr>
              <w:t>，</w:t>
            </w:r>
            <w:r>
              <w:rPr>
                <w:sz w:val="30"/>
                <w:szCs w:val="30"/>
              </w:rPr>
              <w:t>推广病虫害绿色防控技术，打造蔬菜产业高质量发展示范样板。</w:t>
            </w:r>
            <w:r>
              <w:rPr>
                <w:rFonts w:hint="eastAsia"/>
                <w:b/>
                <w:sz w:val="30"/>
                <w:szCs w:val="30"/>
              </w:rPr>
              <w:t>优质粮食生产示范区。</w:t>
            </w:r>
            <w:r>
              <w:rPr>
                <w:sz w:val="30"/>
                <w:szCs w:val="30"/>
              </w:rPr>
              <w:t>开展新品种选育与推广、绿色高效栽培技术研发、稻渔立体综合种养生态技术、土壤改良与保育技术应用、智慧化技术应用等粮食种植领域科技创新试验，打造优质粮食供给新标杆，助力粮食产业提质增效、绿色升级。</w:t>
            </w:r>
            <w:r>
              <w:rPr>
                <w:rFonts w:hint="eastAsia"/>
                <w:b/>
                <w:sz w:val="30"/>
                <w:szCs w:val="30"/>
              </w:rPr>
              <w:t>畜禽智慧养殖示范区。</w:t>
            </w:r>
            <w:r>
              <w:rPr>
                <w:sz w:val="30"/>
                <w:szCs w:val="30"/>
              </w:rPr>
              <w:t>开展畜禽良种繁育、健康养殖技术、废弃物资源化利用等试验示范，提高畜禽养殖规模化、标准化和现代化水平，促进畜牧业绿色发展。</w:t>
            </w:r>
            <w:r>
              <w:rPr>
                <w:rFonts w:hint="eastAsia"/>
                <w:b/>
                <w:sz w:val="30"/>
                <w:szCs w:val="30"/>
              </w:rPr>
              <w:t>绿色农产品加工区。</w:t>
            </w:r>
            <w:r>
              <w:rPr>
                <w:sz w:val="30"/>
                <w:szCs w:val="30"/>
              </w:rPr>
              <w:t>发展粮食加工、饲料加工、水产品加工、食品加工等高值化、绿色化的农产品加工产业，打造京津冀地区重要的绿色食品供应基地和农产品加工产业集群。</w:t>
            </w:r>
          </w:p>
        </w:tc>
      </w:tr>
    </w:tbl>
    <w:p w14:paraId="6E4D86AC">
      <w:pPr>
        <w:ind w:firstLine="0" w:firstLineChars="0"/>
      </w:pP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50F84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52CDD27B">
            <w:pPr>
              <w:adjustRightInd w:val="0"/>
              <w:snapToGrid w:val="0"/>
              <w:ind w:firstLine="0" w:firstLineChars="0"/>
              <w:jc w:val="center"/>
              <w:rPr>
                <w:b/>
                <w:sz w:val="30"/>
                <w:szCs w:val="30"/>
              </w:rPr>
            </w:pPr>
            <w:r>
              <w:rPr>
                <w:b/>
                <w:sz w:val="30"/>
                <w:szCs w:val="30"/>
              </w:rPr>
              <w:t>专栏</w:t>
            </w:r>
            <w:r>
              <w:rPr>
                <w:rFonts w:eastAsia="宋体"/>
                <w:b/>
                <w:sz w:val="30"/>
                <w:szCs w:val="30"/>
              </w:rPr>
              <w:t>4</w:t>
            </w:r>
            <w:r>
              <w:rPr>
                <w:b/>
                <w:sz w:val="30"/>
                <w:szCs w:val="30"/>
              </w:rPr>
              <w:t xml:space="preserve"> </w:t>
            </w:r>
            <w:r>
              <w:rPr>
                <w:rFonts w:hint="eastAsia"/>
                <w:b/>
                <w:sz w:val="30"/>
                <w:szCs w:val="30"/>
              </w:rPr>
              <w:t>现代都市农业发展重点</w:t>
            </w:r>
            <w:r>
              <w:rPr>
                <w:b/>
                <w:sz w:val="30"/>
                <w:szCs w:val="30"/>
              </w:rPr>
              <w:t>项目</w:t>
            </w:r>
          </w:p>
          <w:p w14:paraId="421C6E75">
            <w:pPr>
              <w:adjustRightInd w:val="0"/>
              <w:snapToGrid w:val="0"/>
              <w:ind w:firstLine="602"/>
              <w:rPr>
                <w:sz w:val="30"/>
                <w:szCs w:val="30"/>
              </w:rPr>
            </w:pPr>
            <w:r>
              <w:rPr>
                <w:rFonts w:hint="eastAsia"/>
                <w:b/>
                <w:sz w:val="30"/>
                <w:szCs w:val="30"/>
              </w:rPr>
              <w:t>（一）高标准农田建设项目。</w:t>
            </w:r>
            <w:r>
              <w:rPr>
                <w:rFonts w:hint="eastAsia"/>
                <w:sz w:val="30"/>
                <w:szCs w:val="30"/>
              </w:rPr>
              <w:t>开展灌溉与排水、田间道路、农田输配电、田块整治等工程。</w:t>
            </w:r>
          </w:p>
          <w:p w14:paraId="7BBB1187">
            <w:pPr>
              <w:adjustRightInd w:val="0"/>
              <w:snapToGrid w:val="0"/>
              <w:ind w:firstLine="602"/>
              <w:rPr>
                <w:sz w:val="30"/>
                <w:szCs w:val="30"/>
              </w:rPr>
            </w:pPr>
            <w:r>
              <w:rPr>
                <w:rFonts w:hint="eastAsia"/>
                <w:b/>
                <w:sz w:val="30"/>
                <w:szCs w:val="30"/>
              </w:rPr>
              <w:t>（二）里自沽灌区续建配套与现代化改造项目。</w:t>
            </w:r>
            <w:r>
              <w:rPr>
                <w:rFonts w:hint="eastAsia"/>
                <w:sz w:val="30"/>
                <w:szCs w:val="30"/>
              </w:rPr>
              <w:t>开展渠道整治，开展引水闸、</w:t>
            </w:r>
            <w:r>
              <w:rPr>
                <w:sz w:val="30"/>
                <w:szCs w:val="30"/>
              </w:rPr>
              <w:t>泵站</w:t>
            </w:r>
            <w:r>
              <w:rPr>
                <w:rFonts w:hint="eastAsia"/>
                <w:sz w:val="30"/>
                <w:szCs w:val="30"/>
              </w:rPr>
              <w:t>、</w:t>
            </w:r>
            <w:r>
              <w:rPr>
                <w:sz w:val="30"/>
                <w:szCs w:val="30"/>
              </w:rPr>
              <w:t>农桥</w:t>
            </w:r>
            <w:r>
              <w:rPr>
                <w:rFonts w:hint="eastAsia"/>
                <w:sz w:val="30"/>
                <w:szCs w:val="30"/>
              </w:rPr>
              <w:t>、</w:t>
            </w:r>
            <w:r>
              <w:rPr>
                <w:sz w:val="30"/>
                <w:szCs w:val="30"/>
              </w:rPr>
              <w:t>护坡</w:t>
            </w:r>
            <w:r>
              <w:rPr>
                <w:rFonts w:hint="eastAsia"/>
                <w:sz w:val="30"/>
                <w:szCs w:val="30"/>
              </w:rPr>
              <w:t>、</w:t>
            </w:r>
            <w:r>
              <w:rPr>
                <w:sz w:val="30"/>
                <w:szCs w:val="30"/>
              </w:rPr>
              <w:t>围栏</w:t>
            </w:r>
            <w:r>
              <w:rPr>
                <w:rFonts w:hint="eastAsia"/>
                <w:sz w:val="30"/>
                <w:szCs w:val="30"/>
              </w:rPr>
              <w:t>、</w:t>
            </w:r>
            <w:r>
              <w:rPr>
                <w:sz w:val="30"/>
                <w:szCs w:val="30"/>
              </w:rPr>
              <w:t>灌区调度中心</w:t>
            </w:r>
            <w:r>
              <w:rPr>
                <w:rFonts w:hint="eastAsia"/>
                <w:sz w:val="30"/>
                <w:szCs w:val="30"/>
              </w:rPr>
              <w:t>等设施的新建改建扩建，建设</w:t>
            </w:r>
            <w:r>
              <w:rPr>
                <w:sz w:val="30"/>
                <w:szCs w:val="30"/>
              </w:rPr>
              <w:t>100亩稻田土壤改良示范点。</w:t>
            </w:r>
          </w:p>
          <w:p w14:paraId="2A47FA7F">
            <w:pPr>
              <w:adjustRightInd w:val="0"/>
              <w:snapToGrid w:val="0"/>
              <w:ind w:firstLine="602"/>
              <w:rPr>
                <w:sz w:val="30"/>
                <w:szCs w:val="30"/>
              </w:rPr>
            </w:pPr>
            <w:r>
              <w:rPr>
                <w:rFonts w:hint="eastAsia"/>
                <w:b/>
                <w:sz w:val="30"/>
                <w:szCs w:val="30"/>
              </w:rPr>
              <w:t>（三）大钟灌区续建配套与现代化改造项目。</w:t>
            </w:r>
            <w:r>
              <w:rPr>
                <w:rFonts w:hint="eastAsia"/>
                <w:sz w:val="30"/>
                <w:szCs w:val="30"/>
              </w:rPr>
              <w:t>开展渠道清淤、</w:t>
            </w:r>
            <w:r>
              <w:rPr>
                <w:sz w:val="30"/>
                <w:szCs w:val="30"/>
              </w:rPr>
              <w:t>衬砌</w:t>
            </w:r>
            <w:r>
              <w:rPr>
                <w:rFonts w:hint="eastAsia"/>
                <w:sz w:val="30"/>
                <w:szCs w:val="30"/>
              </w:rPr>
              <w:t>，开展</w:t>
            </w:r>
            <w:r>
              <w:rPr>
                <w:sz w:val="30"/>
                <w:szCs w:val="30"/>
              </w:rPr>
              <w:t>涵桥</w:t>
            </w:r>
            <w:r>
              <w:rPr>
                <w:rFonts w:hint="eastAsia"/>
                <w:sz w:val="30"/>
                <w:szCs w:val="30"/>
              </w:rPr>
              <w:t>、</w:t>
            </w:r>
            <w:r>
              <w:rPr>
                <w:sz w:val="30"/>
                <w:szCs w:val="30"/>
              </w:rPr>
              <w:t>水闸</w:t>
            </w:r>
            <w:r>
              <w:rPr>
                <w:rFonts w:hint="eastAsia"/>
                <w:sz w:val="30"/>
                <w:szCs w:val="30"/>
              </w:rPr>
              <w:t>、</w:t>
            </w:r>
            <w:r>
              <w:rPr>
                <w:sz w:val="30"/>
                <w:szCs w:val="30"/>
              </w:rPr>
              <w:t>渡槽</w:t>
            </w:r>
            <w:r>
              <w:rPr>
                <w:rFonts w:hint="eastAsia"/>
                <w:sz w:val="30"/>
                <w:szCs w:val="30"/>
              </w:rPr>
              <w:t>、</w:t>
            </w:r>
            <w:r>
              <w:rPr>
                <w:sz w:val="30"/>
                <w:szCs w:val="30"/>
              </w:rPr>
              <w:t>泵站</w:t>
            </w:r>
            <w:r>
              <w:rPr>
                <w:rFonts w:hint="eastAsia"/>
                <w:sz w:val="30"/>
                <w:szCs w:val="30"/>
              </w:rPr>
              <w:t>、</w:t>
            </w:r>
            <w:r>
              <w:rPr>
                <w:sz w:val="30"/>
                <w:szCs w:val="30"/>
              </w:rPr>
              <w:t>道路</w:t>
            </w:r>
            <w:r>
              <w:rPr>
                <w:rFonts w:hint="eastAsia"/>
                <w:sz w:val="30"/>
                <w:szCs w:val="30"/>
              </w:rPr>
              <w:t>、</w:t>
            </w:r>
            <w:r>
              <w:rPr>
                <w:sz w:val="30"/>
                <w:szCs w:val="30"/>
              </w:rPr>
              <w:t>用水量测</w:t>
            </w:r>
            <w:r>
              <w:rPr>
                <w:rFonts w:hint="eastAsia"/>
                <w:sz w:val="30"/>
                <w:szCs w:val="30"/>
              </w:rPr>
              <w:t>等</w:t>
            </w:r>
            <w:r>
              <w:rPr>
                <w:sz w:val="30"/>
                <w:szCs w:val="30"/>
              </w:rPr>
              <w:t>设施</w:t>
            </w:r>
            <w:r>
              <w:rPr>
                <w:rFonts w:hint="eastAsia"/>
                <w:sz w:val="30"/>
                <w:szCs w:val="30"/>
              </w:rPr>
              <w:t>建设</w:t>
            </w:r>
            <w:r>
              <w:rPr>
                <w:sz w:val="30"/>
                <w:szCs w:val="30"/>
              </w:rPr>
              <w:t>。</w:t>
            </w:r>
          </w:p>
          <w:p w14:paraId="286BDD82">
            <w:pPr>
              <w:adjustRightInd w:val="0"/>
              <w:snapToGrid w:val="0"/>
              <w:ind w:firstLine="602"/>
              <w:rPr>
                <w:sz w:val="30"/>
                <w:szCs w:val="30"/>
              </w:rPr>
            </w:pPr>
            <w:r>
              <w:rPr>
                <w:rFonts w:hint="eastAsia"/>
                <w:b/>
                <w:sz w:val="30"/>
                <w:szCs w:val="30"/>
              </w:rPr>
              <w:t>（四）智慧芯谷种业科创中心。</w:t>
            </w:r>
            <w:r>
              <w:rPr>
                <w:rFonts w:hint="eastAsia"/>
                <w:sz w:val="30"/>
                <w:szCs w:val="30"/>
              </w:rPr>
              <w:t>建设</w:t>
            </w:r>
            <w:r>
              <w:rPr>
                <w:sz w:val="30"/>
                <w:szCs w:val="30"/>
              </w:rPr>
              <w:t>种子研发生产中心、粮食仓储中心和占地50000亩制种田。</w:t>
            </w:r>
          </w:p>
        </w:tc>
      </w:tr>
    </w:tbl>
    <w:p w14:paraId="072D79CD">
      <w:pPr>
        <w:pStyle w:val="4"/>
        <w:spacing w:before="217" w:after="217"/>
        <w:rPr>
          <w:rFonts w:ascii="宋体" w:hAnsi="宋体"/>
        </w:rPr>
      </w:pPr>
      <w:bookmarkStart w:id="180" w:name="_Toc219068737"/>
      <w:r>
        <w:rPr>
          <w:rFonts w:hint="eastAsia" w:ascii="宋体" w:hAnsi="宋体"/>
        </w:rPr>
        <w:t>第二节 绘就宜居宜业和美乡村新画卷</w:t>
      </w:r>
      <w:bookmarkEnd w:id="180"/>
    </w:p>
    <w:p w14:paraId="129813D9">
      <w:pPr>
        <w:ind w:firstLine="640"/>
      </w:pPr>
      <w:r>
        <w:rPr>
          <w:rFonts w:hint="eastAsia"/>
        </w:rPr>
        <w:t>学习运用“千万工程”经验，加强农村现代化建设，高质量完成镇级国土空间总体规划和村庄规划的编制与审批，统筹</w:t>
      </w:r>
      <w:r>
        <w:rPr>
          <w:rFonts w:hint="eastAsia"/>
          <w:bCs/>
        </w:rPr>
        <w:t>推进农村居民点布局优化，</w:t>
      </w:r>
      <w:r>
        <w:rPr>
          <w:rFonts w:hint="eastAsia" w:cs="Times New Roman"/>
        </w:rPr>
        <w:t>逐步提高农村基础设施完备度、公共服务便利度、人居环境舒适度，打造共建共治共享的乡村治理现代化格局</w:t>
      </w:r>
      <w:r>
        <w:rPr>
          <w:rFonts w:hint="eastAsia"/>
        </w:rPr>
        <w:t>，创建国家乡村振兴示范县。</w:t>
      </w:r>
    </w:p>
    <w:p w14:paraId="277744D2">
      <w:pPr>
        <w:ind w:firstLine="640"/>
      </w:pPr>
      <w:r>
        <w:rPr>
          <w:rFonts w:hint="eastAsia" w:eastAsia="楷体"/>
          <w:bCs/>
        </w:rPr>
        <w:t>推进乡村基础设施建设。</w:t>
      </w:r>
      <w:r>
        <w:rPr>
          <w:rFonts w:hint="eastAsia"/>
        </w:rPr>
        <w:t>因地制宜完善乡村建设实施机制，</w:t>
      </w:r>
      <w:r>
        <w:rPr>
          <w:rFonts w:hint="eastAsia" w:cs="Times New Roman"/>
        </w:rPr>
        <w:t>统筹推进农村“水、电、气、暖、讯、路”等基础设施体系建设，推动基础设施向农村延伸。完善农村供水工程体系，推动农村供水水质稳居较高达标水平，</w:t>
      </w:r>
      <w:r>
        <w:rPr>
          <w:rFonts w:hint="eastAsia"/>
        </w:rPr>
        <w:t>保障乡村排水、污水处理等基础设施常态化运营。</w:t>
      </w:r>
      <w:r>
        <w:rPr>
          <w:rFonts w:hint="eastAsia" w:cs="Times New Roman"/>
        </w:rPr>
        <w:t>推进农村电网巩固提升，加强农村分布式可再生能源开发利用。加强农村供气供暖保障，落实农村供暖补贴。实施数字乡村发展行动，推进乡村新型基础设施建设，提升农村地区电信普遍服务水平。</w:t>
      </w:r>
      <w:bookmarkStart w:id="181" w:name="_Hlk212385227"/>
      <w:r>
        <w:rPr>
          <w:rFonts w:hint="eastAsia"/>
        </w:rPr>
        <w:t>实施新一轮农村公路提升行动，持续推动“四好农村路”高质量发展</w:t>
      </w:r>
      <w:bookmarkEnd w:id="181"/>
      <w:r>
        <w:rPr>
          <w:rFonts w:hint="eastAsia"/>
        </w:rPr>
        <w:t>，“十五五”期间提升改造农村公路</w:t>
      </w:r>
      <w:r>
        <w:t>150</w:t>
      </w:r>
      <w:r>
        <w:rPr>
          <w:rFonts w:hint="eastAsia"/>
        </w:rPr>
        <w:t>公里。</w:t>
      </w:r>
      <w:r>
        <w:rPr>
          <w:rFonts w:hint="eastAsia" w:cs="Times New Roman"/>
        </w:rPr>
        <w:t>强化农村房屋建设管理，继续实施农村危房改造和农房抗震改造，进一步强化农房安全管理水平。</w:t>
      </w:r>
    </w:p>
    <w:p w14:paraId="51480029">
      <w:pPr>
        <w:ind w:firstLine="640"/>
        <w:rPr>
          <w:rFonts w:cs="Times New Roman"/>
          <w:b/>
          <w:bCs/>
        </w:rPr>
      </w:pPr>
      <w:r>
        <w:rPr>
          <w:rFonts w:hint="eastAsia" w:eastAsia="楷体"/>
          <w:bCs/>
        </w:rPr>
        <w:t>加强农村公共服务保障。</w:t>
      </w:r>
      <w:r>
        <w:rPr>
          <w:rFonts w:hint="eastAsia"/>
        </w:rPr>
        <w:t>提升教育、医疗、托育、养老服务质量，补齐农村地区公共服务短板，全面推进公共服务城乡均等化。优化区域教育资源配置，提升乡村小规模学校办学条件和管理水平。提升农村医疗卫生水平，提升乡镇卫生院服务能力，开展全民健身和爱国卫生活动。健全托育养老服务机制，发展农村婴幼儿照顾服务，提升留守儿童和困境儿童关爱服务质量，鼓励开展村级互助性养老服务。</w:t>
      </w:r>
    </w:p>
    <w:p w14:paraId="71A84854">
      <w:pPr>
        <w:ind w:firstLine="640"/>
      </w:pPr>
      <w:r>
        <w:rPr>
          <w:rFonts w:hint="eastAsia" w:eastAsia="楷体"/>
          <w:bCs/>
        </w:rPr>
        <w:t>整治提升农村人居环境。</w:t>
      </w:r>
      <w:r>
        <w:rPr>
          <w:rFonts w:hint="eastAsia"/>
        </w:rPr>
        <w:t>打好农业农村污染治理攻坚战，深化农村黑臭水体动态排查和源头治理，</w:t>
      </w:r>
      <w:r>
        <w:rPr>
          <w:rFonts w:hint="eastAsia" w:cs="Times New Roman"/>
        </w:rPr>
        <w:t>完善农村垃圾收运体系，</w:t>
      </w:r>
      <w:r>
        <w:rPr>
          <w:rFonts w:hint="eastAsia"/>
        </w:rPr>
        <w:t>巩固提升农村厕所革命成果，</w:t>
      </w:r>
      <w:r>
        <w:rPr>
          <w:rFonts w:hint="eastAsia" w:cs="Times New Roman"/>
        </w:rPr>
        <w:t>建设美丽乡村。深入推进村庄绿化美化亮化，</w:t>
      </w:r>
      <w:r>
        <w:rPr>
          <w:rFonts w:hint="eastAsia" w:cs="仿宋_GB2312"/>
          <w:szCs w:val="32"/>
        </w:rPr>
        <w:t>加强“四旁”林地建设，</w:t>
      </w:r>
      <w:r>
        <w:rPr>
          <w:rFonts w:hint="eastAsia" w:cs="Times New Roman"/>
        </w:rPr>
        <w:t>强化乡村空间提升和风貌管控，稳步开展土地综合治理，</w:t>
      </w:r>
      <w:r>
        <w:rPr>
          <w:rFonts w:hint="eastAsia" w:cs="仿宋_GB2312"/>
          <w:szCs w:val="32"/>
        </w:rPr>
        <w:t>推动村容村貌整体提升</w:t>
      </w:r>
      <w:r>
        <w:rPr>
          <w:rFonts w:hint="eastAsia" w:cs="Times New Roman"/>
        </w:rPr>
        <w:t>。</w:t>
      </w:r>
    </w:p>
    <w:p w14:paraId="61409B51">
      <w:pPr>
        <w:ind w:firstLine="640"/>
      </w:pPr>
      <w:r>
        <w:rPr>
          <w:rFonts w:hint="eastAsia" w:eastAsia="楷体"/>
          <w:bCs/>
        </w:rPr>
        <w:t>着力健全乡村治理体系。</w:t>
      </w:r>
      <w:r>
        <w:rPr>
          <w:rFonts w:hint="eastAsia" w:cs="Times New Roman"/>
        </w:rPr>
        <w:t>深入实施党建引领基层治理行动，加强农村基层党组织建设，发挥村“两委”统筹村级事务管理职责作用，落实五级书记抓乡村振兴责任，进一步完善组织推动、要素配置、考核评价等方面的制度性安排。加强新时代农村精神文明建设，</w:t>
      </w:r>
      <w:r>
        <w:rPr>
          <w:rFonts w:hint="eastAsia"/>
        </w:rPr>
        <w:t>强化思想政治引领，培育时代新风新貌，培育</w:t>
      </w:r>
      <w:r>
        <w:rPr>
          <w:rFonts w:hint="eastAsia" w:cs="Times New Roman"/>
        </w:rPr>
        <w:t>文明乡风，</w:t>
      </w:r>
      <w:r>
        <w:rPr>
          <w:rFonts w:hint="eastAsia"/>
        </w:rPr>
        <w:t>推进农村移风易俗，丰富农村文化服务和产品供给，引导群众性文体活动健康发展。</w:t>
      </w:r>
    </w:p>
    <w:p w14:paraId="5073C804">
      <w:pPr>
        <w:pStyle w:val="4"/>
        <w:spacing w:before="217" w:after="217"/>
        <w:rPr>
          <w:rFonts w:ascii="宋体" w:hAnsi="宋体"/>
        </w:rPr>
      </w:pPr>
      <w:bookmarkStart w:id="182" w:name="_Toc219068738"/>
      <w:r>
        <w:rPr>
          <w:rFonts w:hint="eastAsia" w:ascii="宋体" w:hAnsi="宋体"/>
        </w:rPr>
        <w:t>第三节 多举措拓宽农民增收致富渠道</w:t>
      </w:r>
      <w:bookmarkEnd w:id="182"/>
    </w:p>
    <w:p w14:paraId="125E0429">
      <w:pPr>
        <w:ind w:firstLine="640"/>
      </w:pPr>
      <w:r>
        <w:rPr>
          <w:rFonts w:hint="eastAsia"/>
        </w:rPr>
        <w:t>巩固和完善农村基本经营制度，发展新型农村集体经济，不断健全要素保障，优化配置体制机制，</w:t>
      </w:r>
      <w:r>
        <w:rPr>
          <w:rFonts w:hint="eastAsia" w:cs="Times New Roman"/>
        </w:rPr>
        <w:t>推动人力投入、物力配置和财力保障向农业农村倾斜，</w:t>
      </w:r>
      <w:r>
        <w:rPr>
          <w:rFonts w:hint="eastAsia"/>
        </w:rPr>
        <w:t>全面提升农民收入水平，到2</w:t>
      </w:r>
      <w:r>
        <w:t>030</w:t>
      </w:r>
      <w:r>
        <w:rPr>
          <w:rFonts w:hint="eastAsia"/>
        </w:rPr>
        <w:t>年，</w:t>
      </w:r>
      <w:r>
        <w:t>农村居民人均可支配收入增长率</w:t>
      </w:r>
      <w:r>
        <w:rPr>
          <w:rFonts w:hint="eastAsia"/>
        </w:rPr>
        <w:t>不低于全区</w:t>
      </w:r>
      <w:r>
        <w:t>经济增长</w:t>
      </w:r>
      <w:r>
        <w:rPr>
          <w:rFonts w:hint="eastAsia"/>
        </w:rPr>
        <w:t>水平，城乡收入差距进一步缩小</w:t>
      </w:r>
      <w:r>
        <w:t>。</w:t>
      </w:r>
    </w:p>
    <w:p w14:paraId="01E80C4B">
      <w:pPr>
        <w:ind w:firstLine="640"/>
      </w:pPr>
      <w:r>
        <w:rPr>
          <w:rFonts w:hint="eastAsia" w:eastAsia="楷体"/>
          <w:bCs/>
        </w:rPr>
        <w:t>加快新型农业经营主体建设。</w:t>
      </w:r>
      <w:r>
        <w:rPr>
          <w:rFonts w:hint="eastAsia"/>
        </w:rPr>
        <w:t>培育壮大新型农业经营主体，提升农业规模经营水平，构建现代农业经营体系。以农产品精深加工为重点，着力引育一批产业发展水平高、带动农户能力强的农业龙头企业，引导组建农业产业化联合体，示范带动农户增收致富，到</w:t>
      </w:r>
      <w:r>
        <w:t>2030年，新增农业龙头企业4个，</w:t>
      </w:r>
      <w:r>
        <w:rPr>
          <w:rFonts w:hint="eastAsia"/>
        </w:rPr>
        <w:t>农业</w:t>
      </w:r>
      <w:r>
        <w:t>龙头企业产值达58亿元。</w:t>
      </w:r>
      <w:r>
        <w:rPr>
          <w:rFonts w:hint="eastAsia"/>
        </w:rPr>
        <w:t>提升家庭农场和农民合作社生产经营水平，增强服务带动小农户能力，促进小农户与现代农业有机衔接。引导企业、农民合作社、家庭农场与农户等紧密联合与合作，通过保底分红、入股参股、服务带动等方式，让农民更多分享产业增值收益。</w:t>
      </w:r>
    </w:p>
    <w:p w14:paraId="14B2A665">
      <w:pPr>
        <w:ind w:firstLine="640"/>
        <w:rPr>
          <w:rFonts w:eastAsia="楷体"/>
          <w:bCs/>
        </w:rPr>
      </w:pPr>
      <w:r>
        <w:rPr>
          <w:rFonts w:hint="eastAsia" w:eastAsia="楷体"/>
          <w:bCs/>
        </w:rPr>
        <w:t>健全乡村振兴要素保障机制。</w:t>
      </w:r>
      <w:bookmarkStart w:id="183" w:name="_Hlk209776643"/>
      <w:r>
        <w:rPr>
          <w:rFonts w:hint="eastAsia"/>
        </w:rPr>
        <w:t>稳定完善农村土地承包关系，有序推进第二轮土地承包到期后再延长三十年，确保绝大多数农户原有承包权保持稳定、顺利延包。</w:t>
      </w:r>
      <w:r>
        <w:rPr>
          <w:rFonts w:hint="eastAsia" w:cs="Times New Roman"/>
        </w:rPr>
        <w:t>深化农村集体产权制度改革，加强农村集体资金资产资源监督管理，支持农村集体经济组织为小农户和新型农业经营主体提供生产、劳务、土地流转等居间服务，严格控制农村集体经营风险。节约集约利用农村集体经营性建设用地，依法盘活用好闲置土地和房屋，分类保障乡村发展用地。提高强农富农政策效能，健全财政优先保障、金融重点倾斜、社会积极参与的多元投入格局。大力发展乡村富民产业，因地制宜建设“创富工坊”，引导农民就地就近就业。发展壮大乡村人才队伍，激励城市科教文卫体等各类人才下乡服务和创业就业。</w:t>
      </w:r>
    </w:p>
    <w:p w14:paraId="2166B52D">
      <w:pPr>
        <w:ind w:firstLine="640"/>
      </w:pPr>
      <w:r>
        <w:rPr>
          <w:rFonts w:hint="eastAsia" w:eastAsia="楷体"/>
          <w:bCs/>
        </w:rPr>
        <w:t>实施农业转移人口市民化工程。</w:t>
      </w:r>
      <w:r>
        <w:rPr>
          <w:rFonts w:hint="eastAsia"/>
        </w:rPr>
        <w:t>优化公共服务资源配置，完善落户服务，维护农村转移人口稳定就业、子女教育、社会保障等方面权益。推动拆迁“村民”向“新市民”转化，为城乡融合发展注入持久人力资源与消费活力。依法维护进城落户农民的土地承包权、宅基地使用权、集体收益分配权，探索建立自愿有偿退出办法。</w:t>
      </w:r>
    </w:p>
    <w:p w14:paraId="5BE19C46">
      <w:pPr>
        <w:ind w:firstLine="640"/>
      </w:pPr>
      <w:r>
        <w:rPr>
          <w:rFonts w:hint="eastAsia" w:eastAsia="楷体"/>
          <w:bCs/>
        </w:rPr>
        <w:t>加强东西部协作和支援合作</w:t>
      </w:r>
      <w:bookmarkEnd w:id="183"/>
      <w:r>
        <w:rPr>
          <w:rFonts w:hint="eastAsia" w:eastAsia="楷体"/>
          <w:bCs/>
        </w:rPr>
        <w:t>。</w:t>
      </w:r>
      <w:r>
        <w:rPr>
          <w:rFonts w:hint="eastAsia" w:cs="仿宋_GB2312"/>
          <w:szCs w:val="32"/>
        </w:rPr>
        <w:t>继续加强与甘肃、新疆等地的对口帮扶，开展好产业合作、劳务协作、消费帮扶、人才支援等工作，助力巩固拓展受援地区脱贫攻坚成果，推动乡村振兴，促进共同富裕。发挥宝坻优势，扎实做好对口合作长春市农安县工作。</w:t>
      </w:r>
      <w:r>
        <w:rPr>
          <w:rFonts w:cs="Times New Roman"/>
        </w:rPr>
        <w:br w:type="page"/>
      </w:r>
    </w:p>
    <w:p w14:paraId="389C93CA">
      <w:pPr>
        <w:pStyle w:val="3"/>
        <w:spacing w:before="435" w:after="435"/>
        <w:ind w:left="480" w:leftChars="150" w:right="480" w:rightChars="150"/>
        <w:rPr>
          <w:rFonts w:ascii="宋体" w:hAnsi="宋体" w:eastAsia="仿宋_GB2312" w:cs="仿宋_GB2312"/>
          <w:szCs w:val="32"/>
        </w:rPr>
      </w:pPr>
      <w:bookmarkStart w:id="184" w:name="_Toc219068739"/>
      <w:r>
        <w:rPr>
          <w:rFonts w:hint="eastAsia" w:ascii="宋体" w:hAnsi="宋体" w:cs="Times New Roman"/>
        </w:rPr>
        <w:t>第十章</w:t>
      </w:r>
      <w:r>
        <w:rPr>
          <w:rFonts w:ascii="宋体" w:hAnsi="宋体" w:cs="Times New Roman"/>
        </w:rPr>
        <w:t xml:space="preserve">  </w:t>
      </w:r>
      <w:bookmarkStart w:id="185" w:name="_Hlk212314861"/>
      <w:r>
        <w:rPr>
          <w:rFonts w:hint="eastAsia" w:ascii="宋体" w:hAnsi="宋体"/>
        </w:rPr>
        <w:t>推进生态文明建设</w:t>
      </w:r>
      <w:bookmarkStart w:id="186" w:name="_Hlk207290722"/>
      <w:r>
        <w:rPr>
          <w:rFonts w:hint="eastAsia" w:ascii="宋体" w:hAnsi="宋体"/>
        </w:rPr>
        <w:t>，加快经济社会发展全面绿色转型</w:t>
      </w:r>
      <w:bookmarkEnd w:id="184"/>
      <w:bookmarkEnd w:id="185"/>
      <w:bookmarkEnd w:id="186"/>
    </w:p>
    <w:p w14:paraId="5C9370A4">
      <w:pPr>
        <w:ind w:firstLine="640"/>
      </w:pPr>
      <w:r>
        <w:rPr>
          <w:rFonts w:hint="eastAsia"/>
        </w:rPr>
        <w:t>深入贯彻习近平生态文明思想，坚持绿水青山就是金山银山的发展理念，牢固树立“生态优先、绿色发展”导向，巩固国家生态文明建设示范区创建成果，统筹推进产业结构调整、环境污染治理和生态保护修复，全面实施“绿色能源产业升级扩量”引领工程，加快形成节约资源和保护环境的空间格局、产业结构和生产生活方式，打造京津冀生态保护与绿色发展样板。</w:t>
      </w:r>
    </w:p>
    <w:p w14:paraId="183EB323">
      <w:pPr>
        <w:pStyle w:val="4"/>
        <w:spacing w:before="217" w:after="217"/>
        <w:rPr>
          <w:rFonts w:ascii="宋体" w:hAnsi="宋体" w:cs="Times New Roman"/>
        </w:rPr>
      </w:pPr>
      <w:bookmarkStart w:id="187" w:name="_Toc219068740"/>
      <w:r>
        <w:rPr>
          <w:rFonts w:hint="eastAsia" w:ascii="宋体" w:hAnsi="宋体" w:cs="Times New Roman"/>
        </w:rPr>
        <w:t>第一节 积极稳妥推进实现碳达峰</w:t>
      </w:r>
      <w:bookmarkEnd w:id="187"/>
    </w:p>
    <w:p w14:paraId="77575B6A">
      <w:pPr>
        <w:ind w:firstLine="640"/>
      </w:pPr>
      <w:r>
        <w:rPr>
          <w:rFonts w:hint="eastAsia"/>
        </w:rPr>
        <w:t>深入贯彻落实国家“双碳”战略决策部署，落实《天津市宝坻区碳达峰实施方案》，</w:t>
      </w:r>
      <w:r>
        <w:rPr>
          <w:rFonts w:hint="eastAsia"/>
          <w:bCs/>
        </w:rPr>
        <w:t>探索碳排放总量预算化管理制度。</w:t>
      </w:r>
      <w:r>
        <w:rPr>
          <w:rFonts w:hint="eastAsia"/>
        </w:rPr>
        <w:t>以节能降碳增效和绿色低碳循环发展作为关键抓手，推动全区经济社会发展全面绿色转型取得显著成效、产业结构调整取得重大进展、清洁低碳安全高效的新型能源体系初步建立、重点领域低碳发展模式基本形成。到2030年，单位地区生产总值能源消耗和二氧化碳排放确保完成市下达指标，非化石能源消费比重稳步提升，如期实现碳达峰目标。</w:t>
      </w:r>
    </w:p>
    <w:p w14:paraId="1072C937">
      <w:pPr>
        <w:ind w:firstLine="640"/>
      </w:pPr>
      <w:r>
        <w:rPr>
          <w:rFonts w:hint="eastAsia" w:eastAsia="楷体"/>
          <w:bCs/>
        </w:rPr>
        <w:t>深化能源绿色低碳转型。</w:t>
      </w:r>
      <w:r>
        <w:rPr>
          <w:rFonts w:hint="eastAsia"/>
        </w:rPr>
        <w:t>抢抓新能源发展战略机遇，系统规划“风电</w:t>
      </w:r>
      <w:r>
        <w:t>+光伏”布局，</w:t>
      </w:r>
      <w:r>
        <w:rPr>
          <w:rFonts w:hint="eastAsia"/>
        </w:rPr>
        <w:t>抓好风能、光能、储能等一体化推进，推进绿电规模化应用，将宝坻打造为京津冀地区重要的绿色能源供给高地和应用示范基地。加快构建新型电力系统，发挥京津冀新型电力系统产学研用联盟作用，探索实践绿电直联和源网荷储一体化智能微电网模式，拓展可再生能源消纳、分布式发电等领域应用场景，推动新能源基地与算力设施等新兴产业协同规划，培育绿色发展“新动能”。</w:t>
      </w:r>
    </w:p>
    <w:p w14:paraId="45DE71BA">
      <w:pPr>
        <w:ind w:firstLine="640"/>
      </w:pPr>
      <w:r>
        <w:rPr>
          <w:rFonts w:hint="eastAsia" w:eastAsia="楷体"/>
          <w:bCs/>
        </w:rPr>
        <w:t>加快产业绿色低碳循环发展。</w:t>
      </w:r>
      <w:r>
        <w:rPr>
          <w:rFonts w:hint="eastAsia"/>
        </w:rPr>
        <w:t>积极构建以高端装备制造、新能源新材料、新一代信息技术等为核心的低碳工业体系，坚决控制“两高”项目、低水平项目。推动工业系统节能和绿色化改造，鼓励传统优势产业设备更新和工艺流程再造，全面推行清洁生产，支持重点企业制定碳达峰路径。加快京津中关村科技城、经济开发区等园区循环化改造和绿色升级，推动能源梯级利用和废物资源化。强化绿色低碳科技创新，围绕节能降碳、可再生能源、新型储能等领域开展关键技术攻关和应用推广。</w:t>
      </w:r>
    </w:p>
    <w:p w14:paraId="290C854A">
      <w:pPr>
        <w:ind w:firstLine="640"/>
        <w:rPr>
          <w:color w:val="AFABAB" w:themeColor="background2" w:themeShade="BF"/>
        </w:rPr>
      </w:pPr>
      <w:r>
        <w:rPr>
          <w:rFonts w:hint="eastAsia" w:eastAsia="楷体"/>
          <w:bCs/>
        </w:rPr>
        <w:t>推行城乡建设和交通运输低碳化。</w:t>
      </w:r>
      <w:r>
        <w:rPr>
          <w:rFonts w:hint="eastAsia"/>
        </w:rPr>
        <w:t>发挥大唐庄镇“绿色零碳小镇”及“一园一村”双碳示范引领作用，将绿色低碳理念贯穿城乡规划建设管理全过程。推广绿色建造方式和建材，大力发展装配式建筑和超低能耗建筑，提升城镇新建建筑可再生能源应用比例。构建绿色低碳交通运输体系，加快推广新能源汽车，完善充电、加氢等基础设施网络，优化慢行交通环境，鼓励群众绿色出行，到2030年，宝坻城区绿色出行比例达到80%左右。倡导简约适度、绿色低碳的生活方式，积极扩大绿色消费，深入开展绿色社区创建和“全民减碳”行动。</w:t>
      </w:r>
    </w:p>
    <w:p w14:paraId="01503173">
      <w:pPr>
        <w:ind w:firstLine="640"/>
      </w:pPr>
      <w:r>
        <w:rPr>
          <w:rFonts w:eastAsia="楷体"/>
        </w:rPr>
        <w:t>健全</w:t>
      </w:r>
      <w:r>
        <w:rPr>
          <w:rFonts w:hint="eastAsia" w:eastAsia="楷体"/>
        </w:rPr>
        <w:t>“双碳”</w:t>
      </w:r>
      <w:r>
        <w:rPr>
          <w:rFonts w:eastAsia="楷体"/>
        </w:rPr>
        <w:t>政策保障体系</w:t>
      </w:r>
      <w:r>
        <w:rPr>
          <w:rFonts w:hint="eastAsia" w:eastAsia="楷体"/>
        </w:rPr>
        <w:t>。</w:t>
      </w:r>
      <w:r>
        <w:t>加强能源及碳排放统计核算能力建设，编制温室气体排放清单</w:t>
      </w:r>
      <w:r>
        <w:rPr>
          <w:rFonts w:hint="eastAsia"/>
        </w:rPr>
        <w:t>。开展森林、湿地等生态系统碳汇本底调查与监测评估，巩固提升生态系统碳汇能力。</w:t>
      </w:r>
      <w:r>
        <w:rPr>
          <w:rFonts w:hint="eastAsia"/>
          <w:kern w:val="0"/>
        </w:rPr>
        <w:t>积极融入和服务全国碳汇市场建设，拓宽碳汇交易，提升碳市场活力。</w:t>
      </w:r>
      <w:r>
        <w:t>强化财税价格政策支持</w:t>
      </w:r>
      <w:r>
        <w:rPr>
          <w:rFonts w:hint="eastAsia"/>
        </w:rPr>
        <w:t>，</w:t>
      </w:r>
      <w:r>
        <w:t>统筹资金加大对绿色低碳领域支持力度</w:t>
      </w:r>
      <w:r>
        <w:rPr>
          <w:rFonts w:hint="eastAsia"/>
        </w:rPr>
        <w:t>，</w:t>
      </w:r>
      <w:r>
        <w:t>落实环境保护、节能节水、资源综合利用等税收优惠</w:t>
      </w:r>
      <w:r>
        <w:rPr>
          <w:rFonts w:hint="eastAsia"/>
        </w:rPr>
        <w:t>，完善差别化用能价格政策。鼓励</w:t>
      </w:r>
      <w:r>
        <w:t>金融机构创新绿色信贷、债券、保险等产品和服务，用好碳减排支持工具</w:t>
      </w:r>
      <w:r>
        <w:rPr>
          <w:rFonts w:hint="eastAsia"/>
        </w:rPr>
        <w:t>。</w:t>
      </w:r>
      <w:r>
        <w:t>培育引入专业节能降碳服务机构，推广合同能源管理、节能“一站式”综合服务等模式</w:t>
      </w:r>
      <w:r>
        <w:rPr>
          <w:rFonts w:hint="eastAsia"/>
        </w:rPr>
        <w:t>。</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3E523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4A1B7A52">
            <w:pPr>
              <w:adjustRightInd w:val="0"/>
              <w:snapToGrid w:val="0"/>
              <w:ind w:firstLine="21" w:firstLineChars="7"/>
              <w:jc w:val="center"/>
              <w:rPr>
                <w:sz w:val="30"/>
                <w:szCs w:val="30"/>
              </w:rPr>
            </w:pPr>
            <w:r>
              <w:rPr>
                <w:rFonts w:hint="eastAsia"/>
                <w:b/>
                <w:sz w:val="30"/>
                <w:szCs w:val="30"/>
              </w:rPr>
              <w:t>引领工程之八 “绿色能源产业升级扩量”工程</w:t>
            </w:r>
          </w:p>
        </w:tc>
      </w:tr>
      <w:tr w14:paraId="7B52D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2A2D1074">
            <w:pPr>
              <w:ind w:firstLine="600"/>
              <w:rPr>
                <w:sz w:val="30"/>
                <w:szCs w:val="30"/>
              </w:rPr>
            </w:pPr>
            <w:r>
              <w:rPr>
                <w:rFonts w:hint="eastAsia"/>
                <w:sz w:val="30"/>
                <w:szCs w:val="30"/>
              </w:rPr>
              <w:t>大力促进以风能、太阳能为代表的可再生能源利用，壮大绿色能源产业发展，加快能源结构转型，构建清洁低碳安全高效的新型能源体系。到</w:t>
            </w:r>
            <w:r>
              <w:rPr>
                <w:sz w:val="30"/>
                <w:szCs w:val="30"/>
              </w:rPr>
              <w:t>2030年，绿色能源新装机容量达300万千瓦，</w:t>
            </w:r>
            <w:r>
              <w:rPr>
                <w:rFonts w:hint="eastAsia"/>
                <w:sz w:val="30"/>
                <w:szCs w:val="30"/>
              </w:rPr>
              <w:t>新型储能装机规模不低于</w:t>
            </w:r>
            <w:r>
              <w:rPr>
                <w:sz w:val="30"/>
                <w:szCs w:val="30"/>
              </w:rPr>
              <w:t>24万千瓦</w:t>
            </w:r>
            <w:r>
              <w:rPr>
                <w:rFonts w:hint="eastAsia"/>
                <w:sz w:val="30"/>
                <w:szCs w:val="30"/>
              </w:rPr>
              <w:t>，</w:t>
            </w:r>
            <w:r>
              <w:rPr>
                <w:sz w:val="30"/>
                <w:szCs w:val="30"/>
              </w:rPr>
              <w:t>全区绿色能源占比不低于</w:t>
            </w:r>
            <w:r>
              <w:rPr>
                <w:rFonts w:hint="eastAsia"/>
                <w:sz w:val="30"/>
                <w:szCs w:val="30"/>
              </w:rPr>
              <w:t>全市平均水平</w:t>
            </w:r>
            <w:r>
              <w:rPr>
                <w:sz w:val="30"/>
                <w:szCs w:val="30"/>
              </w:rPr>
              <w:t>，每年约能生产绿电</w:t>
            </w:r>
            <w:r>
              <w:rPr>
                <w:rFonts w:hint="eastAsia"/>
                <w:sz w:val="30"/>
                <w:szCs w:val="30"/>
              </w:rPr>
              <w:t>50</w:t>
            </w:r>
            <w:r>
              <w:rPr>
                <w:sz w:val="30"/>
                <w:szCs w:val="30"/>
              </w:rPr>
              <w:t>亿度</w:t>
            </w:r>
            <w:r>
              <w:rPr>
                <w:rFonts w:hint="eastAsia"/>
                <w:sz w:val="30"/>
                <w:szCs w:val="30"/>
              </w:rPr>
              <w:t>，</w:t>
            </w:r>
            <w:r>
              <w:rPr>
                <w:sz w:val="30"/>
                <w:szCs w:val="30"/>
              </w:rPr>
              <w:t>新能源项目年碳减排量超</w:t>
            </w:r>
            <w:r>
              <w:rPr>
                <w:rFonts w:hint="eastAsia"/>
                <w:sz w:val="30"/>
                <w:szCs w:val="30"/>
              </w:rPr>
              <w:t>280</w:t>
            </w:r>
            <w:r>
              <w:rPr>
                <w:sz w:val="30"/>
                <w:szCs w:val="30"/>
              </w:rPr>
              <w:t>万吨</w:t>
            </w:r>
            <w:r>
              <w:rPr>
                <w:rFonts w:hint="eastAsia"/>
                <w:sz w:val="30"/>
                <w:szCs w:val="30"/>
              </w:rPr>
              <w:t>。</w:t>
            </w:r>
          </w:p>
          <w:p w14:paraId="5D750A71">
            <w:pPr>
              <w:ind w:firstLine="0" w:firstLineChars="0"/>
              <w:rPr>
                <w:color w:val="AFABAB" w:themeColor="background2" w:themeShade="BF"/>
                <w:sz w:val="30"/>
                <w:szCs w:val="30"/>
              </w:rPr>
            </w:pPr>
            <w:r>
              <w:rPr>
                <w:rFonts w:hint="eastAsia"/>
                <w:b/>
                <w:bCs/>
                <w:sz w:val="30"/>
                <w:szCs w:val="30"/>
              </w:rPr>
              <w:t xml:space="preserve">    （一）大力发展风电光伏。</w:t>
            </w:r>
            <w:r>
              <w:rPr>
                <w:rFonts w:hint="eastAsia"/>
                <w:sz w:val="30"/>
                <w:szCs w:val="30"/>
              </w:rPr>
              <w:t>推动新能源多维度一体化开发，重点推进一批风电项目和光伏项目建设，系统推进区内集中式新能源项目风光等互补开发。以天宝工业园、九园工业园为重点，在具备条件的厂房屋顶和农村屋顶建设分布式光伏项目，推进整村、整镇开发分布式光伏试点建设。</w:t>
            </w:r>
          </w:p>
          <w:p w14:paraId="4AD303B5">
            <w:pPr>
              <w:ind w:firstLine="602"/>
              <w:rPr>
                <w:sz w:val="30"/>
                <w:szCs w:val="30"/>
              </w:rPr>
            </w:pPr>
            <w:r>
              <w:rPr>
                <w:rFonts w:hint="eastAsia"/>
                <w:b/>
                <w:bCs/>
                <w:sz w:val="30"/>
                <w:szCs w:val="30"/>
              </w:rPr>
              <w:t>（二）强化新型储能建设。</w:t>
            </w:r>
            <w:r>
              <w:rPr>
                <w:rFonts w:hint="eastAsia"/>
                <w:sz w:val="30"/>
                <w:szCs w:val="30"/>
              </w:rPr>
              <w:t>落实新能源项目配置储能要求，积极推进共享储能电站建设。围绕电力系统调峰调频需求，推动重点项目建设，加强电化学储能技术规模化应用，保障高比例可再生能源并网消纳和电网安全稳定运行。</w:t>
            </w:r>
            <w:r>
              <w:rPr>
                <w:sz w:val="30"/>
                <w:szCs w:val="30"/>
              </w:rPr>
              <w:t xml:space="preserve"> </w:t>
            </w:r>
          </w:p>
          <w:p w14:paraId="355B6DD5">
            <w:pPr>
              <w:ind w:firstLine="602"/>
              <w:rPr>
                <w:sz w:val="30"/>
                <w:szCs w:val="30"/>
              </w:rPr>
            </w:pPr>
            <w:r>
              <w:rPr>
                <w:rFonts w:hint="eastAsia"/>
                <w:b/>
                <w:bCs/>
                <w:sz w:val="30"/>
                <w:szCs w:val="30"/>
              </w:rPr>
              <w:t>（三）构建新型电力系统。</w:t>
            </w:r>
            <w:r>
              <w:rPr>
                <w:rFonts w:hint="eastAsia" w:cs="Times New Roman"/>
                <w:sz w:val="30"/>
                <w:szCs w:val="30"/>
              </w:rPr>
              <w:t>推动“绿电直连”模式创新，在京津中关村科技城、九园工业园区等负荷中心率先开展探索实践，实现风光电场与高耗能企业点对点直供，打造零碳园区样板，推动零碳工厂建设。搭建源网荷储智能微电网试点，联动园区动力电池等产业负荷需求，推动电源、储能、电网、用户四方共建共享，构建源网荷储一体化智能微电网示范基地。支持新能源为主的产业园区应用绿电直联、智能微电网（源网荷储一体化）、新能源接入配电网等新业态，鼓励企业通过绿色电力交易（</w:t>
            </w:r>
            <w:r>
              <w:rPr>
                <w:rFonts w:cs="Times New Roman"/>
                <w:sz w:val="30"/>
                <w:szCs w:val="30"/>
              </w:rPr>
              <w:t>PPA）直接消纳新能源电力，推动产业园区减污降碳协同增效。</w:t>
            </w:r>
          </w:p>
        </w:tc>
      </w:tr>
    </w:tbl>
    <w:p w14:paraId="2890B907">
      <w:pPr>
        <w:pStyle w:val="4"/>
        <w:spacing w:before="217" w:after="217"/>
        <w:rPr>
          <w:rFonts w:ascii="宋体" w:hAnsi="宋体"/>
        </w:rPr>
      </w:pPr>
      <w:bookmarkStart w:id="188" w:name="_Toc219068741"/>
      <w:r>
        <w:rPr>
          <w:rFonts w:hint="eastAsia" w:ascii="宋体" w:hAnsi="宋体"/>
        </w:rPr>
        <w:t xml:space="preserve">第二节 </w:t>
      </w:r>
      <w:bookmarkStart w:id="189" w:name="_Hlk212315195"/>
      <w:r>
        <w:rPr>
          <w:rFonts w:hint="eastAsia" w:ascii="宋体" w:hAnsi="宋体"/>
        </w:rPr>
        <w:t>持续打好污染防治攻坚战</w:t>
      </w:r>
      <w:bookmarkEnd w:id="188"/>
    </w:p>
    <w:p w14:paraId="44EE01BC">
      <w:pPr>
        <w:ind w:firstLine="640"/>
      </w:pPr>
      <w:r>
        <w:rPr>
          <w:rFonts w:hint="eastAsia"/>
        </w:rPr>
        <w:t>全面落实精准科学依法治污，聚焦解决突出问题，以更高标准打好蓝天、碧水、净土保卫战，健全生态环境评价考核和责任追究制度，强化源头管控，促进生态环境质量根本好转。</w:t>
      </w:r>
    </w:p>
    <w:p w14:paraId="1FC95A1A">
      <w:pPr>
        <w:ind w:firstLine="640"/>
      </w:pPr>
      <w:r>
        <w:rPr>
          <w:rFonts w:hint="eastAsia" w:eastAsia="楷体"/>
          <w:bCs/>
        </w:rPr>
        <w:t>加力推进蓝天保卫战。</w:t>
      </w:r>
      <w:r>
        <w:rPr>
          <w:rFonts w:hint="eastAsia"/>
        </w:rPr>
        <w:t>坚持移动源、工业源、扬尘源、生活源协同治理，以降低细颗粒物（P</w:t>
      </w:r>
      <w:r>
        <w:t>M</w:t>
      </w:r>
      <w:r>
        <w:rPr>
          <w:sz w:val="24"/>
        </w:rPr>
        <w:t>2.5</w:t>
      </w:r>
      <w:r>
        <w:rPr>
          <w:rFonts w:hint="eastAsia"/>
        </w:rPr>
        <w:t>）浓度为主线，推动主要污染物排放总量持续减少。</w:t>
      </w:r>
      <w:r>
        <w:rPr>
          <w:rFonts w:hint="eastAsia"/>
          <w:b/>
        </w:rPr>
        <w:t>加快移动源清洁化替代，</w:t>
      </w:r>
      <w:r>
        <w:rPr>
          <w:rFonts w:hint="eastAsia"/>
        </w:rPr>
        <w:t>深化公共领域车辆全面电动化先行区建设，推动重点行业短途运输新能源替代，进一步提升车辆电动化水平。</w:t>
      </w:r>
      <w:r>
        <w:rPr>
          <w:rFonts w:hint="eastAsia"/>
          <w:b/>
        </w:rPr>
        <w:t>加快推进重点行业绿色转型，</w:t>
      </w:r>
      <w:r>
        <w:rPr>
          <w:rFonts w:hint="eastAsia"/>
        </w:rPr>
        <w:t>实施垃圾焚烧等重点行业创A行动，加快C、D级企业升级改造，加强散煤治理，深化“散乱污”企业整治。</w:t>
      </w:r>
      <w:r>
        <w:rPr>
          <w:rFonts w:hint="eastAsia"/>
          <w:b/>
        </w:rPr>
        <w:t>加强扬尘污染管控，</w:t>
      </w:r>
      <w:r>
        <w:rPr>
          <w:rFonts w:hint="eastAsia"/>
        </w:rPr>
        <w:t>严格落实“六个百分之百”控尘要求，强化道路科学扫保。</w:t>
      </w:r>
      <w:r>
        <w:rPr>
          <w:rFonts w:hint="eastAsia"/>
          <w:b/>
        </w:rPr>
        <w:t>加强生活污染防治，</w:t>
      </w:r>
      <w:r>
        <w:rPr>
          <w:rFonts w:hint="eastAsia"/>
        </w:rPr>
        <w:t>以油烟、恶臭异味、室外有机作业等污染防治为重点，切实解决老百姓“家门口”污染问题治理。</w:t>
      </w:r>
      <w:r>
        <w:rPr>
          <w:rFonts w:hint="eastAsia"/>
          <w:b/>
        </w:rPr>
        <w:t>巩固重污染天气消除攻坚战成果，</w:t>
      </w:r>
      <w:r>
        <w:rPr>
          <w:rFonts w:hint="eastAsia"/>
        </w:rPr>
        <w:t>继续完善预测预警体系和重污染天气应对机制，进一步细化重污染天气应急响应措施。到2</w:t>
      </w:r>
      <w:r>
        <w:t>030</w:t>
      </w:r>
      <w:r>
        <w:rPr>
          <w:rFonts w:hint="eastAsia"/>
        </w:rPr>
        <w:t>年，优良天数比例达</w:t>
      </w:r>
      <w:r>
        <w:t>75%</w:t>
      </w:r>
      <w:r>
        <w:rPr>
          <w:rFonts w:hint="eastAsia"/>
        </w:rPr>
        <w:t>，重污染天数控制在</w:t>
      </w:r>
      <w:r>
        <w:t>3</w:t>
      </w:r>
      <w:r>
        <w:rPr>
          <w:rFonts w:hint="eastAsia"/>
        </w:rPr>
        <w:t>天以内。</w:t>
      </w:r>
    </w:p>
    <w:p w14:paraId="2E6A9384">
      <w:pPr>
        <w:ind w:firstLine="640"/>
      </w:pPr>
      <w:r>
        <w:rPr>
          <w:rFonts w:hint="eastAsia" w:eastAsia="楷体"/>
          <w:bCs/>
        </w:rPr>
        <w:t>巩固提升碧水保卫战。</w:t>
      </w:r>
      <w:r>
        <w:rPr>
          <w:rFonts w:hint="eastAsia"/>
        </w:rPr>
        <w:t>统筹水资源、水环境、水生态协同治理，充分发挥河湖长制作用，“一河一策”治理重点河流，推进美丽河湖保护与建设。</w:t>
      </w:r>
      <w:r>
        <w:rPr>
          <w:rFonts w:hint="eastAsia"/>
          <w:b/>
        </w:rPr>
        <w:t>加强水资源管理，</w:t>
      </w:r>
      <w:r>
        <w:rPr>
          <w:rFonts w:hint="eastAsia"/>
        </w:rPr>
        <w:t>完善饮用水水源地“划、立、治”工作，强化河湖生态用水保障，配合落实重点河流上下游生态补偿机制。</w:t>
      </w:r>
      <w:r>
        <w:rPr>
          <w:rFonts w:hint="eastAsia"/>
          <w:b/>
        </w:rPr>
        <w:t>强化水环境监管，</w:t>
      </w:r>
      <w:r>
        <w:rPr>
          <w:rFonts w:hint="eastAsia"/>
        </w:rPr>
        <w:t>以工业废水排放监管和入河排口管理为重点，不断优化水环境监管体系。</w:t>
      </w:r>
      <w:r>
        <w:rPr>
          <w:rFonts w:hint="eastAsia"/>
          <w:b/>
        </w:rPr>
        <w:t>深化水环境治理，</w:t>
      </w:r>
      <w:r>
        <w:rPr>
          <w:rFonts w:hint="eastAsia"/>
        </w:rPr>
        <w:t>加快补齐城镇污水收集和处理设施短板，加强农业面源污染整治，深化农村黑臭水体常态化治理。到2</w:t>
      </w:r>
      <w:r>
        <w:t>030</w:t>
      </w:r>
      <w:r>
        <w:rPr>
          <w:rFonts w:hint="eastAsia"/>
        </w:rPr>
        <w:t>年，保障地级及以上集中式饮用水水源水质达标率</w:t>
      </w:r>
      <w:r>
        <w:t>100%，</w:t>
      </w:r>
      <w:r>
        <w:rPr>
          <w:rFonts w:hint="eastAsia"/>
        </w:rPr>
        <w:t>全面消除劣Ⅴ类水体和黑臭水体，</w:t>
      </w:r>
      <w:r>
        <w:t>入海河流水质巩固提升，完成国家下达的主要水污染物化学需氧量、</w:t>
      </w:r>
      <w:r>
        <w:rPr>
          <w:rFonts w:hint="eastAsia"/>
        </w:rPr>
        <w:t>总磷</w:t>
      </w:r>
      <w:r>
        <w:t>减排量任务。</w:t>
      </w:r>
    </w:p>
    <w:p w14:paraId="5175D214">
      <w:pPr>
        <w:ind w:firstLine="640"/>
      </w:pPr>
      <w:r>
        <w:rPr>
          <w:rFonts w:hint="eastAsia" w:eastAsia="楷体"/>
          <w:bCs/>
        </w:rPr>
        <w:t>稳步推进净土保卫战。</w:t>
      </w:r>
      <w:r>
        <w:rPr>
          <w:rFonts w:hint="eastAsia"/>
        </w:rPr>
        <w:t>坚持源头防控、风险防范“两个并重”，严格农用地、建设用地“两个管控”，坚决防止新增污染，到2</w:t>
      </w:r>
      <w:r>
        <w:t>030</w:t>
      </w:r>
      <w:r>
        <w:rPr>
          <w:rFonts w:hint="eastAsia"/>
        </w:rPr>
        <w:t>年，重点建设用地安全利用率保持</w:t>
      </w:r>
      <w:r>
        <w:t>100%</w:t>
      </w:r>
      <w:r>
        <w:rPr>
          <w:rFonts w:hint="eastAsia"/>
        </w:rPr>
        <w:t>，受污染耕地安全利用率保持</w:t>
      </w:r>
      <w:r>
        <w:t>95%</w:t>
      </w:r>
      <w:r>
        <w:rPr>
          <w:rFonts w:hint="eastAsia"/>
        </w:rPr>
        <w:t>以上。</w:t>
      </w:r>
      <w:r>
        <w:rPr>
          <w:rFonts w:hint="eastAsia"/>
          <w:b/>
        </w:rPr>
        <w:t>强化土壤污染源防控，</w:t>
      </w:r>
      <w:r>
        <w:rPr>
          <w:rFonts w:hint="eastAsia"/>
        </w:rPr>
        <w:t>动态更新土壤和地下水重点监管单位名录，开展化工、金属表面处理等重点行业、企业土壤污染隐患排查整改。加强石油、化工、有色金属等行业腾退地块的污染风险管控，落实优先监管地块清单管理。</w:t>
      </w:r>
      <w:r>
        <w:rPr>
          <w:rFonts w:hint="eastAsia"/>
          <w:b/>
        </w:rPr>
        <w:t>协同防治土壤地下水污染，</w:t>
      </w:r>
      <w:r>
        <w:rPr>
          <w:rFonts w:hint="eastAsia"/>
        </w:rPr>
        <w:t>完善地下水分区管控机制，落实环境准入、隐患排查、风险防控等措施。</w:t>
      </w:r>
      <w:r>
        <w:rPr>
          <w:rFonts w:hint="eastAsia"/>
          <w:b/>
        </w:rPr>
        <w:t>推进固体废物综合治理，</w:t>
      </w:r>
      <w:r>
        <w:rPr>
          <w:rFonts w:hint="eastAsia"/>
        </w:rPr>
        <w:t>提升大宗固废综合利用和污染废物治理水平，加强新污染物治理，健全再生资源回收利用体系，到2</w:t>
      </w:r>
      <w:r>
        <w:t>030</w:t>
      </w:r>
      <w:r>
        <w:rPr>
          <w:rFonts w:hint="eastAsia"/>
        </w:rPr>
        <w:t>年，危险废物填埋处置量占比明显降低，基本建成“无废城市”。</w:t>
      </w:r>
    </w:p>
    <w:bookmarkEnd w:id="189"/>
    <w:p w14:paraId="7052C280">
      <w:pPr>
        <w:pStyle w:val="4"/>
        <w:spacing w:before="217" w:after="217"/>
        <w:rPr>
          <w:rFonts w:ascii="宋体" w:hAnsi="宋体"/>
        </w:rPr>
      </w:pPr>
      <w:bookmarkStart w:id="190" w:name="_Toc219068742"/>
      <w:r>
        <w:rPr>
          <w:rFonts w:hint="eastAsia" w:ascii="宋体" w:hAnsi="宋体"/>
        </w:rPr>
        <w:t>第三节 构建稳定的生态安全格局</w:t>
      </w:r>
      <w:bookmarkEnd w:id="190"/>
    </w:p>
    <w:p w14:paraId="0D054DDD">
      <w:pPr>
        <w:ind w:firstLine="640"/>
      </w:pPr>
      <w:r>
        <w:rPr>
          <w:rFonts w:hint="eastAsia"/>
          <w:bCs/>
        </w:rPr>
        <w:t>统筹自然资源保护利用，稳固建立生态安全格局，</w:t>
      </w:r>
      <w:r>
        <w:rPr>
          <w:rFonts w:hint="eastAsia"/>
        </w:rPr>
        <w:t>系统推进国土空间生态修复，全面提升各类生态要素质量，不断夯实国土空间生态基底，拓宽生态产品价值转化路径，建设人与自然和谐共生的美丽宝坻。</w:t>
      </w:r>
    </w:p>
    <w:p w14:paraId="3A75F4DF">
      <w:pPr>
        <w:ind w:firstLine="640"/>
      </w:pPr>
      <w:r>
        <w:rPr>
          <w:rFonts w:hint="eastAsia" w:eastAsia="楷体"/>
          <w:bCs/>
        </w:rPr>
        <w:t>统筹提升生态空间质量。</w:t>
      </w:r>
      <w:r>
        <w:rPr>
          <w:rFonts w:hint="eastAsia"/>
        </w:rPr>
        <w:t>贯彻落实“两山”理念，全面提升生态环境稳定性和生态系统服务功能，加快构建“一带一廊、三区六链”的国土空间生态保护格局。严守自然生态安全边界，严格生态保护红线管理。加强天津古海岸与湿地国家级自然保护区、天津宝坻潮白河国家湿地公园、天津青龙湾森林公园的自然保护地体系建设。统筹水资源、林地资源、湿地资源和矿山资源等各类自然资源保护和利用，加强生物多样性保护。</w:t>
      </w:r>
    </w:p>
    <w:p w14:paraId="04BC4248">
      <w:pPr>
        <w:ind w:firstLine="640"/>
      </w:pPr>
      <w:bookmarkStart w:id="191" w:name="_Hlk212315367"/>
      <w:r>
        <w:rPr>
          <w:rFonts w:hint="eastAsia" w:eastAsia="楷体"/>
          <w:bCs/>
        </w:rPr>
        <w:t>加强生态保护修复建设。</w:t>
      </w:r>
      <w:r>
        <w:rPr>
          <w:rFonts w:hint="eastAsia"/>
          <w:b/>
          <w:bCs/>
        </w:rPr>
        <w:t>加强湿地保护修复，</w:t>
      </w:r>
      <w:r>
        <w:rPr>
          <w:rFonts w:hint="eastAsia"/>
        </w:rPr>
        <w:t>以潮白河国家湿地公园保护修复为引领，强化重要湿地的保护修复，打造京津冀地区的湿地科普宣教示范基地和宝坻区生态文明建设宣传的重要窗口，到2</w:t>
      </w:r>
      <w:r>
        <w:t>030</w:t>
      </w:r>
      <w:r>
        <w:rPr>
          <w:rFonts w:hint="eastAsia"/>
        </w:rPr>
        <w:t>年，</w:t>
      </w:r>
      <w:r>
        <w:t>宝坻区湿地保护率达70%。</w:t>
      </w:r>
      <w:r>
        <w:rPr>
          <w:rFonts w:hint="eastAsia"/>
          <w:b/>
        </w:rPr>
        <w:t>加强水域环境治理，</w:t>
      </w:r>
      <w:r>
        <w:rPr>
          <w:rFonts w:hint="eastAsia"/>
        </w:rPr>
        <w:t>以潮白河流域综合治理为重点，围绕潮白新河、蓟运河、青龙湾减河、引滦明渠等重要河流，统筹推进水生态修复，扎实开展蓟运河、潮白新河等河流沿线农业面源专项整治等工作，推进蓟运河流域（新安镇段）水环境生态修复和提升、潮阳街道潮白新河重点支流水生态环境综合提升整治等重点项目建设，延续实施大唐庄镇潮白新河沿岸生态修复工程，构建流域水生态修复示范。</w:t>
      </w:r>
      <w:r>
        <w:rPr>
          <w:rFonts w:hint="eastAsia"/>
          <w:b/>
        </w:rPr>
        <w:t>加强林地生态建设，</w:t>
      </w:r>
      <w:r>
        <w:rPr>
          <w:rFonts w:hint="eastAsia"/>
        </w:rPr>
        <w:t>继续实施国土绿化工作，推动“三北”六期工程建设，着力增加造林面积，实施林地抚育和树木更新改造，到</w:t>
      </w:r>
      <w:r>
        <w:t>2030年，宝坻区更新造林0.23万亩，林地抚育面积1.65万亩。</w:t>
      </w:r>
      <w:bookmarkEnd w:id="191"/>
    </w:p>
    <w:p w14:paraId="61CEBDE0">
      <w:pPr>
        <w:ind w:firstLine="640"/>
      </w:pPr>
      <w:r>
        <w:rPr>
          <w:rFonts w:hint="eastAsia" w:eastAsia="楷体"/>
          <w:bCs/>
        </w:rPr>
        <w:t>拓宽“两山”转化有效路径。</w:t>
      </w:r>
      <w:r>
        <w:rPr>
          <w:rFonts w:hint="eastAsia"/>
        </w:rPr>
        <w:t>深化“绿水青山就是金山银山”实践创新基地创建成果，健全潮白河综合管理开发体制机制，推动潮白河全域生态旅游发展规划实施，将潮白河沿岸打造成为生态宜居的风貌样板、业态丰富的体验高地、主客共享的幸福家园。</w:t>
      </w:r>
      <w:r>
        <w:t>推动</w:t>
      </w:r>
      <w:r>
        <w:rPr>
          <w:rFonts w:hint="eastAsia"/>
        </w:rPr>
        <w:t>天津青龙湾森林公园转型升级</w:t>
      </w:r>
      <w:r>
        <w:t>，</w:t>
      </w:r>
      <w:r>
        <w:rPr>
          <w:rFonts w:hint="eastAsia"/>
        </w:rPr>
        <w:t>一体拓展生态保护、科普研学、体育休闲等功能</w:t>
      </w:r>
      <w:r>
        <w:t>，打造</w:t>
      </w:r>
      <w:r>
        <w:rPr>
          <w:rFonts w:hint="eastAsia"/>
        </w:rPr>
        <w:t>优质生态体验目的地</w:t>
      </w:r>
      <w:r>
        <w:t>。</w:t>
      </w:r>
      <w:r>
        <w:rPr>
          <w:rFonts w:hint="eastAsia"/>
        </w:rPr>
        <w:t>大力发展生态农业、生态旅游、康养休闲等生态经济产业，促进林下经济多元化发展，引导社会资本参与生态产业发展，开展多领域、多层次的“两山转化实践探索”。探索“生态治理+产业开发”模式，着力推进经济开发区水生态环境修复及产业融合发展一体化、潮白新河（新开口段）流域综合治理与产业融合发展、中关村科技城涝污同治与智慧农业制造产业一体化等重点E</w:t>
      </w:r>
      <w:r>
        <w:t>OD</w:t>
      </w:r>
      <w:r>
        <w:rPr>
          <w:rFonts w:hint="eastAsia"/>
        </w:rPr>
        <w:t>项目，探索生态资源存量转变为生态资本增量的具体路径。建立健全生态保护补偿机制，推动机制覆盖面更加全面、权责更加清晰、方式更加多元、治理更加高效，统筹推进生态环境损害赔偿，实现“谁污染谁治理、谁保护谁受益”，促进“交易—收益激励—再交易”的良性循环。</w:t>
      </w:r>
    </w:p>
    <w:p w14:paraId="35AB27F5">
      <w:pPr>
        <w:widowControl/>
        <w:spacing w:line="240" w:lineRule="auto"/>
        <w:ind w:firstLine="0" w:firstLineChars="0"/>
        <w:jc w:val="left"/>
        <w:rPr>
          <w:rStyle w:val="24"/>
          <w:rFonts w:eastAsia="黑体" w:cstheme="majorBidi"/>
          <w:b w:val="0"/>
          <w:bCs w:val="0"/>
          <w:kern w:val="0"/>
          <w:szCs w:val="28"/>
        </w:rPr>
      </w:pPr>
      <w:r>
        <w:rPr>
          <w:rStyle w:val="24"/>
          <w:b w:val="0"/>
          <w:bCs w:val="0"/>
        </w:rPr>
        <w:br w:type="page"/>
      </w:r>
    </w:p>
    <w:p w14:paraId="6CC4FBD4">
      <w:pPr>
        <w:pStyle w:val="3"/>
        <w:spacing w:before="435" w:after="435"/>
        <w:ind w:left="160" w:leftChars="50" w:right="160" w:rightChars="50"/>
        <w:rPr>
          <w:rFonts w:ascii="宋体" w:hAnsi="宋体"/>
          <w:b/>
          <w:bCs/>
        </w:rPr>
      </w:pPr>
      <w:bookmarkStart w:id="192" w:name="_Toc212560098"/>
      <w:bookmarkStart w:id="193" w:name="_Toc219068743"/>
      <w:r>
        <w:rPr>
          <w:rStyle w:val="24"/>
          <w:rFonts w:hint="eastAsia" w:ascii="宋体" w:hAnsi="宋体"/>
          <w:b w:val="0"/>
        </w:rPr>
        <w:t xml:space="preserve">第十一章 </w:t>
      </w:r>
      <w:r>
        <w:rPr>
          <w:rStyle w:val="24"/>
          <w:rFonts w:ascii="宋体" w:hAnsi="宋体"/>
          <w:b w:val="0"/>
        </w:rPr>
        <w:t xml:space="preserve"> </w:t>
      </w:r>
      <w:bookmarkStart w:id="194" w:name="_Hlk207123483"/>
      <w:bookmarkStart w:id="195" w:name="_Hlk207124059"/>
      <w:r>
        <w:rPr>
          <w:rStyle w:val="24"/>
          <w:rFonts w:hint="eastAsia" w:ascii="宋体" w:hAnsi="宋体"/>
          <w:b w:val="0"/>
        </w:rPr>
        <w:t>赓续传统历史文脉</w:t>
      </w:r>
      <w:bookmarkEnd w:id="194"/>
      <w:r>
        <w:rPr>
          <w:rStyle w:val="24"/>
          <w:rFonts w:hint="eastAsia" w:ascii="宋体" w:hAnsi="宋体"/>
          <w:b w:val="0"/>
        </w:rPr>
        <w:t>，谱写现代“文宝坻”新篇章</w:t>
      </w:r>
      <w:bookmarkEnd w:id="192"/>
      <w:bookmarkEnd w:id="193"/>
    </w:p>
    <w:bookmarkEnd w:id="195"/>
    <w:p w14:paraId="1605EDAD">
      <w:pPr>
        <w:ind w:firstLine="640"/>
      </w:pPr>
      <w:r>
        <w:rPr>
          <w:rFonts w:hint="eastAsia"/>
        </w:rPr>
        <w:t>坚持马克思主义在意识形态领域的指导地位，以习近平文化思想为引领，弘扬社会主义核心价值观，传承社会主义先进文化，打造富有宝坻特色的文化品牌。以文化人、以文惠民、以文润城、以文兴业，在推动文化传承发展上善作善成，不断提高公共文化服务水平，以文化赋能区域高质量发展。以“‘遇见宝坻·印象潮白’特色文旅品牌IP做优”工程为引领，深挖文旅资源，激发全域旅游活力。</w:t>
      </w:r>
    </w:p>
    <w:p w14:paraId="423B502B">
      <w:pPr>
        <w:pStyle w:val="4"/>
        <w:spacing w:before="217" w:after="217"/>
        <w:rPr>
          <w:rFonts w:ascii="宋体" w:hAnsi="宋体"/>
        </w:rPr>
      </w:pPr>
      <w:bookmarkStart w:id="196" w:name="_Toc219068744"/>
      <w:bookmarkStart w:id="197" w:name="_Toc212560099"/>
      <w:bookmarkStart w:id="198" w:name="_Toc211000475"/>
      <w:bookmarkStart w:id="199" w:name="_Toc212560100"/>
      <w:r>
        <w:rPr>
          <w:rFonts w:hint="eastAsia" w:ascii="宋体" w:hAnsi="宋体"/>
        </w:rPr>
        <w:t>第一节 繁荣发展社会主义先进文化</w:t>
      </w:r>
      <w:bookmarkEnd w:id="196"/>
    </w:p>
    <w:p w14:paraId="319DFF0B">
      <w:pPr>
        <w:ind w:firstLine="640"/>
      </w:pPr>
      <w:r>
        <w:rPr>
          <w:rFonts w:hint="eastAsia" w:eastAsia="楷体" w:cs="楷体"/>
          <w:szCs w:val="32"/>
        </w:rPr>
        <w:t>弘扬和践行社会主义核心价值观。</w:t>
      </w:r>
      <w:r>
        <w:rPr>
          <w:rFonts w:hint="eastAsia"/>
          <w:b/>
        </w:rPr>
        <w:t>坚持不懈用习近平新时代中国特色社会主义思想凝心铸魂，</w:t>
      </w:r>
      <w:r>
        <w:rPr>
          <w:rFonts w:hint="eastAsia"/>
        </w:rPr>
        <w:t>健全用党的创新理论武装全党、教育人民、指导实践工作体系，立足宝坻发展需要，创新拓展“宝坻发展大讲堂”内容和形式，完善“坻‘理’前行”理论宣讲品牌运行机制。</w:t>
      </w:r>
      <w:r>
        <w:rPr>
          <w:rFonts w:hint="eastAsia"/>
          <w:b/>
        </w:rPr>
        <w:t>加强思想政治工作，</w:t>
      </w:r>
      <w:r>
        <w:rPr>
          <w:rFonts w:hint="eastAsia"/>
        </w:rPr>
        <w:t>打造深耕宝坻资源、贯通课堂内外的“宝坻之光”思政教育工作品牌。</w:t>
      </w:r>
      <w:r>
        <w:rPr>
          <w:rFonts w:hint="eastAsia"/>
          <w:b/>
        </w:rPr>
        <w:t>完善培育和践行社会主义核心价值观制度机制，</w:t>
      </w:r>
      <w:r>
        <w:rPr>
          <w:rFonts w:hint="eastAsia"/>
        </w:rPr>
        <w:t>以社会主义核心价值观引领文化建设，深度融入国民教育、精神文明创建、文化产品创作传播全过程各环节，夯实全体人民团结奋斗的共同思想基础。</w:t>
      </w:r>
      <w:r>
        <w:rPr>
          <w:rFonts w:hint="eastAsia"/>
          <w:b/>
        </w:rPr>
        <w:t>持续深化社会主义精神文明建设，</w:t>
      </w:r>
      <w:r>
        <w:rPr>
          <w:rFonts w:hint="eastAsia"/>
        </w:rPr>
        <w:t>广泛开展群众性精神文明创建活动，提升公民文明素养和社会文明程度，激发全民族文化创新活力，增强实现中华民族伟大复兴的精神力量。</w:t>
      </w:r>
    </w:p>
    <w:p w14:paraId="1B0FD8B1">
      <w:pPr>
        <w:ind w:firstLine="640"/>
      </w:pPr>
      <w:r>
        <w:rPr>
          <w:rFonts w:hint="eastAsia" w:eastAsia="楷体" w:cs="楷体"/>
          <w:szCs w:val="32"/>
        </w:rPr>
        <w:t>推动新时代爱国主义教育和公民道德建设。</w:t>
      </w:r>
      <w:r>
        <w:rPr>
          <w:rFonts w:hint="eastAsia"/>
          <w:b/>
          <w:bCs/>
        </w:rPr>
        <w:t>大力传播弘扬红色文化</w:t>
      </w:r>
      <w:r>
        <w:rPr>
          <w:rFonts w:hint="eastAsia"/>
          <w:b/>
        </w:rPr>
        <w:t>，</w:t>
      </w:r>
      <w:r>
        <w:rPr>
          <w:rFonts w:hint="eastAsia"/>
        </w:rPr>
        <w:t>深入实施红色文化传承弘扬工程和革命文物保护利用工程，筑牢实体化教育阵地，加强爱国主义教育基地、法治文化阵地等建设。发挥东走线窝村地下联络站等爱国主义教育基地作用，精心设计并推广“宝坻红色印记”主题研学路线，将散落的红色资源串联成珠，形成主题鲜明、内容丰富的教育网络。广泛开展各类主题宣传活动，推动爱国主义教育进机关、进企业、进社区、进乡村、进校园。</w:t>
      </w:r>
      <w:r>
        <w:rPr>
          <w:rFonts w:hint="eastAsia"/>
          <w:b/>
          <w:bCs/>
        </w:rPr>
        <w:t>深入推进公民道德建设，</w:t>
      </w:r>
      <w:r>
        <w:rPr>
          <w:rFonts w:hint="eastAsia"/>
        </w:rPr>
        <w:t>持续巩固全国文明城区创建成果，不断扩大“宝坻有礼”工作品牌的覆盖场景、引领手段、价值影响，广泛开展常态化文明行为教育引导。统筹推动文明培育、文明实践、文明创建，完善和丰富“‘乡’约文明”“善育未来”等品牌工作机制和活动形式，打造覆盖城市乡村、连接全年龄段的精神文明建设工作格局，进一步提高城乡文明程度，不断提高人民道德水准和文明素养。</w:t>
      </w:r>
    </w:p>
    <w:p w14:paraId="256FBA7A">
      <w:pPr>
        <w:ind w:firstLine="640"/>
      </w:pPr>
      <w:r>
        <w:rPr>
          <w:rFonts w:hint="eastAsia" w:eastAsia="楷体" w:cs="楷体"/>
          <w:szCs w:val="32"/>
        </w:rPr>
        <w:t>加强网络文明建设。</w:t>
      </w:r>
      <w:r>
        <w:rPr>
          <w:rFonts w:hint="eastAsia"/>
        </w:rPr>
        <w:t>以培育和践行社会主义核心价值观为引领，提升全民网络素养，繁荣区域特色网络文化。</w:t>
      </w:r>
      <w:r>
        <w:rPr>
          <w:rFonts w:hint="eastAsia"/>
          <w:b/>
          <w:bCs/>
        </w:rPr>
        <w:t>营造文明网络环境，</w:t>
      </w:r>
      <w:r>
        <w:rPr>
          <w:rFonts w:hint="eastAsia"/>
        </w:rPr>
        <w:t>严格落实意识形态工作责任制，加强网络内容建设管理，深化网络空间综合治理，强化未成年人网络保护。</w:t>
      </w:r>
      <w:r>
        <w:rPr>
          <w:rFonts w:hint="eastAsia"/>
          <w:b/>
          <w:bCs/>
        </w:rPr>
        <w:t>强化网络空间思想引领</w:t>
      </w:r>
      <w:r>
        <w:rPr>
          <w:rFonts w:hint="eastAsia"/>
        </w:rPr>
        <w:t>，构筑清朗精神家园，做强区域主流舆论阵地，加强区级融媒体中心建设，打造集新闻、政务、服务于一体的权威信息发布平台，创新宣传方式，讲好“宝坻故事”。</w:t>
      </w:r>
      <w:r>
        <w:rPr>
          <w:rFonts w:hint="eastAsia"/>
          <w:b/>
          <w:bCs/>
        </w:rPr>
        <w:t>加强网络空间道德建设</w:t>
      </w:r>
      <w:r>
        <w:rPr>
          <w:rFonts w:hint="eastAsia"/>
          <w:b/>
        </w:rPr>
        <w:t>，</w:t>
      </w:r>
      <w:r>
        <w:rPr>
          <w:rFonts w:hint="eastAsia"/>
        </w:rPr>
        <w:t>将网络素养教育纳入社区教育、青少年教育和干部培训体系。</w:t>
      </w:r>
      <w:r>
        <w:rPr>
          <w:rFonts w:hint="eastAsia"/>
          <w:b/>
        </w:rPr>
        <w:t>推进</w:t>
      </w:r>
      <w:r>
        <w:rPr>
          <w:rFonts w:hint="eastAsia"/>
          <w:b/>
          <w:bCs/>
        </w:rPr>
        <w:t>网络诚信建设</w:t>
      </w:r>
      <w:r>
        <w:rPr>
          <w:rFonts w:hint="eastAsia"/>
        </w:rPr>
        <w:t>，建立和完善网络信用评价机制，打击网络诈骗、网络谣言和虚假信息传播。</w:t>
      </w:r>
    </w:p>
    <w:p w14:paraId="09FFFD3B">
      <w:pPr>
        <w:pStyle w:val="4"/>
        <w:spacing w:before="217" w:after="217"/>
        <w:rPr>
          <w:rFonts w:ascii="宋体" w:hAnsi="宋体"/>
        </w:rPr>
      </w:pPr>
      <w:bookmarkStart w:id="200" w:name="_Toc211000477"/>
      <w:bookmarkStart w:id="201" w:name="_Toc219068745"/>
      <w:bookmarkStart w:id="202" w:name="_Toc212560101"/>
      <w:r>
        <w:rPr>
          <w:rFonts w:hint="eastAsia" w:ascii="宋体" w:hAnsi="宋体"/>
        </w:rPr>
        <w:t>第二节 传承弘扬地区优秀传统文化</w:t>
      </w:r>
      <w:bookmarkEnd w:id="200"/>
      <w:bookmarkEnd w:id="201"/>
      <w:bookmarkEnd w:id="202"/>
    </w:p>
    <w:p w14:paraId="72FA4ED6">
      <w:pPr>
        <w:ind w:firstLine="640"/>
      </w:pPr>
      <w:r>
        <w:rPr>
          <w:rFonts w:hint="eastAsia"/>
        </w:rPr>
        <w:t>加强历史文化宣传、保护和传承力度，弘扬时代新风，</w:t>
      </w:r>
      <w:r>
        <w:rPr>
          <w:rFonts w:hint="eastAsia" w:cs="Times New Roman"/>
          <w:kern w:val="28"/>
        </w:rPr>
        <w:t>坚持“两个结合”，在创造性转化和创新性发展中赓续中华文脉，繁荣发展地域特色文化，进一步增强城市文化软实力，</w:t>
      </w:r>
      <w:r>
        <w:rPr>
          <w:rFonts w:hint="eastAsia"/>
        </w:rPr>
        <w:t>建设新时代崇德向善“文宝坻”。</w:t>
      </w:r>
    </w:p>
    <w:p w14:paraId="64AD9FCD">
      <w:pPr>
        <w:ind w:firstLine="640"/>
      </w:pPr>
      <w:r>
        <w:rPr>
          <w:rFonts w:hint="eastAsia" w:eastAsia="楷体" w:cs="楷体"/>
          <w:szCs w:val="32"/>
        </w:rPr>
        <w:t>加强历史文化资源发掘保护和利用。</w:t>
      </w:r>
      <w:r>
        <w:rPr>
          <w:rFonts w:hint="eastAsia"/>
        </w:rPr>
        <w:t>完善文化保护传承体系，通过加强历史文化资源的保护与利用，让传统文化在新时代焕发新的生机与活力。</w:t>
      </w:r>
      <w:r>
        <w:rPr>
          <w:rFonts w:hint="eastAsia"/>
          <w:b/>
          <w:bCs/>
        </w:rPr>
        <w:t>加强物质文化遗产保护，</w:t>
      </w:r>
      <w:r>
        <w:rPr>
          <w:rFonts w:hint="eastAsia"/>
        </w:rPr>
        <w:t>系统推进文物挖掘和保护工作，推动秦城古遗址申报国家级文物保护单位，加大宝坻大觉寺、石经幢等文物保护单位的保护力度。全面深化文物资源普查，认定并公布一批新发现文物，夯实文物保护利用基础。</w:t>
      </w:r>
      <w:r>
        <w:rPr>
          <w:rFonts w:hint="eastAsia"/>
          <w:b/>
          <w:bCs/>
        </w:rPr>
        <w:t>注重非物质文化遗产传承，</w:t>
      </w:r>
      <w:r>
        <w:rPr>
          <w:rFonts w:hint="eastAsia"/>
        </w:rPr>
        <w:t>保护以评剧、京东大鼓、葫芦制作技艺为典型代表的宝坻非物质文化遗产，支持非遗传承人开展传承活动，强化非物质文化遗产的存续力。拓展非遗展馆功能，打造“非遗体验+研学旅游”融合发展的活态传承体系。聚焦评剧、京东大鼓等重点国家级非遗项目，加强民间艺术团体扶持力度，策划组织一批覆盖京津冀、辐射全国的评剧、京东大鼓展演展示和文艺赛事，全面提升“宝坻非遗”品牌知名度与美誉度。“十五五”期间，推动新增30个非遗项目，认定一批非遗传承人。</w:t>
      </w:r>
      <w:r>
        <w:rPr>
          <w:rFonts w:hint="eastAsia"/>
          <w:b/>
          <w:bCs/>
        </w:rPr>
        <w:t>传扬了凡文化。</w:t>
      </w:r>
      <w:r>
        <w:rPr>
          <w:rFonts w:hint="eastAsia"/>
        </w:rPr>
        <w:t>利用了凡公园、袁黄（了凡）纪念馆打造袁黄思想文化研究的学术阵地，构建“一馆一园多遗迹”文化矩阵。通过主题讲座、社区展演、校园演出，促进了凡精神融入城市血脉。探索袁黄（了凡）思想文化的创新性传承与国际化传播路径，提升宝坻文化品牌的国际知名度和影响力。</w:t>
      </w:r>
    </w:p>
    <w:p w14:paraId="379453EC">
      <w:pPr>
        <w:ind w:firstLine="640"/>
      </w:pPr>
      <w:r>
        <w:rPr>
          <w:rFonts w:hint="eastAsia" w:eastAsia="楷体" w:cs="楷体"/>
          <w:szCs w:val="32"/>
        </w:rPr>
        <w:t>推进文化资源活化利用和品牌转化。</w:t>
      </w:r>
      <w:r>
        <w:rPr>
          <w:rFonts w:hint="eastAsia"/>
        </w:rPr>
        <w:t>推动文化资源向活化利用有效转化，强化非物质文化遗产融合创新，将“了凡故事”与评剧、京东大鼓相结合，促进传统文化在现代舞台焕发新生。促进文化资源向品牌资产转化，对非物质文化遗产、传统技艺、节庆活动、历史典故进行系统梳理保护，通过创意化提升和产业化运营，形成一系列高质量的文化产品，打响宝坻文化品牌。推进文化与科技融合，聚焦红色文化、了凡文化、漕运文化、曲艺文化等主题，加快新型文化业态，推动文化建设数智化赋能、信息化转型。</w:t>
      </w:r>
    </w:p>
    <w:p w14:paraId="27AE83D6">
      <w:pPr>
        <w:pStyle w:val="4"/>
        <w:spacing w:before="217" w:after="217"/>
        <w:rPr>
          <w:rFonts w:ascii="宋体" w:hAnsi="宋体"/>
        </w:rPr>
      </w:pPr>
      <w:bookmarkStart w:id="203" w:name="_Toc212560102"/>
      <w:bookmarkStart w:id="204" w:name="_Toc211000478"/>
      <w:bookmarkStart w:id="205" w:name="_Toc219068746"/>
      <w:r>
        <w:rPr>
          <w:rFonts w:hint="eastAsia" w:ascii="宋体" w:hAnsi="宋体"/>
        </w:rPr>
        <w:t xml:space="preserve">第三节 </w:t>
      </w:r>
      <w:bookmarkEnd w:id="203"/>
      <w:bookmarkEnd w:id="204"/>
      <w:r>
        <w:rPr>
          <w:rFonts w:hint="eastAsia" w:ascii="宋体" w:hAnsi="宋体"/>
        </w:rPr>
        <w:t>着力营造良好文化发展生态</w:t>
      </w:r>
      <w:bookmarkEnd w:id="205"/>
    </w:p>
    <w:p w14:paraId="0DD99285">
      <w:pPr>
        <w:ind w:firstLine="640"/>
      </w:pPr>
      <w:r>
        <w:rPr>
          <w:rFonts w:hint="eastAsia" w:eastAsia="楷体" w:cs="楷体"/>
          <w:szCs w:val="32"/>
        </w:rPr>
        <w:t>优化文化服务和文化产品供给机制。</w:t>
      </w:r>
      <w:r>
        <w:rPr>
          <w:rFonts w:hint="eastAsia"/>
        </w:rPr>
        <w:t>坚持以人民为中心的创作导向，坚持出成果和出人才相结合、抓作品和抓环境相贯通，改进文艺创作生产服务、引导、组织工作机制。</w:t>
      </w:r>
      <w:r>
        <w:rPr>
          <w:rFonts w:hint="eastAsia"/>
          <w:bCs/>
        </w:rPr>
        <w:t>建立文艺精品创作引导扶持机制，</w:t>
      </w:r>
      <w:r>
        <w:rPr>
          <w:rFonts w:hint="eastAsia"/>
        </w:rPr>
        <w:t>创新推动“五音合奏 唱响宝坻新篇”大型文艺创作项目，打造一批具有宝坻辨识度、较高影响力的文艺精品。</w:t>
      </w:r>
      <w:r>
        <w:rPr>
          <w:rFonts w:hint="eastAsia"/>
          <w:bCs/>
        </w:rPr>
        <w:t>完善文化人才发展体制机制，</w:t>
      </w:r>
      <w:r>
        <w:rPr>
          <w:rFonts w:hint="eastAsia"/>
        </w:rPr>
        <w:t>高标准办好“宝坻文艺名家大讲堂”等特色项目，培育德才兼备文化英才。</w:t>
      </w:r>
    </w:p>
    <w:p w14:paraId="05C6DAC8">
      <w:pPr>
        <w:ind w:firstLine="640"/>
      </w:pPr>
      <w:r>
        <w:rPr>
          <w:rFonts w:hint="eastAsia" w:eastAsia="楷体" w:cs="楷体"/>
          <w:szCs w:val="32"/>
        </w:rPr>
        <w:t>创新实施文化惠民工程。</w:t>
      </w:r>
      <w:r>
        <w:rPr>
          <w:rFonts w:hint="eastAsia"/>
        </w:rPr>
        <w:t>撬动和引导优势文化资源向基层倾斜，提升公共文化服务均等化水平。支持基层文艺院（团）和文化社团建设发展，举办文艺展演、四季村晚，开展评剧、音乐、书法等辅导培训，不断丰富市民文化生活。丰富全民阅读活动，</w:t>
      </w:r>
      <w:r>
        <w:t>加快形成覆盖城乡的全民阅读推广服务体系，拓展新时代文明实践城市书吧等优势资源功能，打响“阅享潮白”工作品牌，创新办好“潮白书市”特色载体，建设“书香宝坻”。</w:t>
      </w:r>
      <w:r>
        <w:rPr>
          <w:rFonts w:hint="eastAsia"/>
        </w:rPr>
        <w:t>“十五五”期间，举办文艺讲座、公益展览等文化活动不少于100场。</w:t>
      </w:r>
    </w:p>
    <w:p w14:paraId="4B697640">
      <w:pPr>
        <w:ind w:firstLine="640"/>
      </w:pPr>
      <w:r>
        <w:rPr>
          <w:rFonts w:hint="eastAsia" w:eastAsia="楷体" w:cs="楷体"/>
          <w:szCs w:val="32"/>
        </w:rPr>
        <w:t>提升公共文化服务效能。</w:t>
      </w:r>
      <w:r>
        <w:rPr>
          <w:rFonts w:hint="eastAsia"/>
        </w:rPr>
        <w:t>培育新型公共文化空间，放大了凡纪念馆、了凡善廉文化展馆、马季艺术馆、京东大鼓艺术馆、申沛农剪纸艺术馆等文化场馆服务效能，推动建设集中展示宝抵文化资源的文化空间，不断</w:t>
      </w:r>
      <w:r>
        <w:rPr>
          <w:rFonts w:hint="eastAsia" w:cs="仿宋_GB2312"/>
          <w:kern w:val="0"/>
          <w:szCs w:val="32"/>
        </w:rPr>
        <w:t>提高公共文化服务均等化和覆盖率，</w:t>
      </w:r>
      <w:r>
        <w:rPr>
          <w:rFonts w:hint="eastAsia"/>
        </w:rPr>
        <w:t>到2030年，宝坻区</w:t>
      </w:r>
      <w:r>
        <w:rPr>
          <w:rFonts w:hint="eastAsia" w:cs="仿宋_GB2312"/>
          <w:kern w:val="0"/>
          <w:szCs w:val="32"/>
        </w:rPr>
        <w:t>万人公共文化设施面积达到1200平方米。</w:t>
      </w:r>
      <w:r>
        <w:rPr>
          <w:rFonts w:hint="eastAsia"/>
        </w:rPr>
        <w:t>落实主流媒体系统性变革要求，推进新闻宣传和网络舆论一体化管理，提升主流舆论引导能力。推动档案方志事业发展，推进档案信息化建设，以入选全国第三轮修志试点单位为契机，高标准完成宝坻区志修编。</w:t>
      </w:r>
    </w:p>
    <w:p w14:paraId="540D52B9">
      <w:pPr>
        <w:pStyle w:val="4"/>
        <w:spacing w:before="217" w:after="217"/>
        <w:rPr>
          <w:rFonts w:ascii="宋体" w:hAnsi="宋体"/>
        </w:rPr>
      </w:pPr>
      <w:bookmarkStart w:id="206" w:name="_Toc219068747"/>
      <w:r>
        <w:rPr>
          <w:rFonts w:hint="eastAsia" w:ascii="宋体" w:hAnsi="宋体"/>
        </w:rPr>
        <w:t xml:space="preserve">第四节 </w:t>
      </w:r>
      <w:bookmarkStart w:id="207" w:name="_Hlk208252901"/>
      <w:r>
        <w:rPr>
          <w:rFonts w:hint="eastAsia" w:ascii="宋体" w:hAnsi="宋体"/>
        </w:rPr>
        <w:t>促进农商文体旅</w:t>
      </w:r>
      <w:bookmarkEnd w:id="207"/>
      <w:r>
        <w:rPr>
          <w:rFonts w:hint="eastAsia" w:ascii="宋体" w:hAnsi="宋体"/>
        </w:rPr>
        <w:t>融合发展</w:t>
      </w:r>
      <w:bookmarkEnd w:id="206"/>
    </w:p>
    <w:p w14:paraId="163F06D5">
      <w:pPr>
        <w:ind w:firstLine="640"/>
      </w:pPr>
      <w:r>
        <w:rPr>
          <w:rFonts w:hint="eastAsia"/>
        </w:rPr>
        <w:t>聚焦构建“一脉、双城、六屏、多廊、多点”全域旅游发展格局，以“推动潮白河两岸风生水起”为主线，做优“遇见宝坻·印象潮白”文旅IP，加速农商文体旅融合发展。</w:t>
      </w:r>
    </w:p>
    <w:p w14:paraId="49054F1C">
      <w:pPr>
        <w:widowControl/>
        <w:ind w:firstLine="640"/>
      </w:pPr>
      <w:bookmarkStart w:id="208" w:name="_Toc211000476"/>
      <w:r>
        <w:rPr>
          <w:rFonts w:hint="eastAsia" w:eastAsia="楷体" w:cs="楷体"/>
          <w:szCs w:val="32"/>
        </w:rPr>
        <w:t>打造“旅游+”产业链条。</w:t>
      </w:r>
      <w:r>
        <w:rPr>
          <w:rFonts w:hint="eastAsia" w:cs="Times New Roman"/>
          <w:kern w:val="28"/>
        </w:rPr>
        <w:t>以产业链条融合发展理念系统性推动生态、农业、文化、体育等业态与旅游深度融合，强化上下游产业协同，</w:t>
      </w:r>
      <w:r>
        <w:rPr>
          <w:rFonts w:hint="eastAsia"/>
        </w:rPr>
        <w:t>持续培育旅游消费新场景，不断扩大旅游消费空间。</w:t>
      </w:r>
      <w:r>
        <w:rPr>
          <w:rFonts w:hint="eastAsia" w:cs="Times New Roman"/>
          <w:b/>
          <w:bCs/>
          <w:kern w:val="28"/>
        </w:rPr>
        <w:t>“旅游+生态”，</w:t>
      </w:r>
      <w:r>
        <w:rPr>
          <w:rFonts w:hint="eastAsia"/>
        </w:rPr>
        <w:t>立足生态优势，以潮白河国家湿地公园为核心载体，开发集运动、研学、赛事、度假于一体的水上运动休闲旅游产品，引领生态旅游发展。</w:t>
      </w:r>
      <w:r>
        <w:rPr>
          <w:rFonts w:hint="eastAsia" w:cs="Times New Roman"/>
          <w:b/>
          <w:bCs/>
          <w:kern w:val="28"/>
        </w:rPr>
        <w:t>“旅游+农业”，</w:t>
      </w:r>
      <w:r>
        <w:rPr>
          <w:rFonts w:hint="eastAsia"/>
        </w:rPr>
        <w:t>挖掘乡村文化资源，创新乡村文旅业态，</w:t>
      </w:r>
      <w:r>
        <w:rPr>
          <w:rFonts w:hint="eastAsia" w:cs="Times New Roman"/>
          <w:bCs/>
          <w:kern w:val="28"/>
        </w:rPr>
        <w:t>加快</w:t>
      </w:r>
      <w:r>
        <w:rPr>
          <w:rFonts w:hint="eastAsia"/>
        </w:rPr>
        <w:t>创建乡村旅游度假区，打造集农耕体验、文化创意、休闲度假为一体的综合性农文旅项目，为乡村振兴提供新动能。</w:t>
      </w:r>
      <w:r>
        <w:rPr>
          <w:rFonts w:hint="eastAsia" w:cs="Times New Roman"/>
          <w:b/>
          <w:bCs/>
          <w:kern w:val="28"/>
        </w:rPr>
        <w:t>“旅游+文化”，</w:t>
      </w:r>
      <w:r>
        <w:rPr>
          <w:rFonts w:hint="eastAsia" w:cs="Times New Roman"/>
          <w:kern w:val="28"/>
        </w:rPr>
        <w:t>以文塑旅、以旅彰文，构建双向赋能新格局，挖掘地方特色文化资源，通过主题线路、非遗体验、实景演艺等形式，将文化元素融入旅游场景，实现文化价值与旅游消费的双向</w:t>
      </w:r>
      <w:r>
        <w:rPr>
          <w:rFonts w:hint="eastAsia" w:cs="方正仿宋简体"/>
          <w:szCs w:val="34"/>
        </w:rPr>
        <w:t>转化。</w:t>
      </w:r>
      <w:r>
        <w:rPr>
          <w:rFonts w:hint="eastAsia" w:cs="Times New Roman"/>
          <w:b/>
          <w:bCs/>
          <w:kern w:val="28"/>
        </w:rPr>
        <w:t>“旅游+体育”，</w:t>
      </w:r>
      <w:r>
        <w:rPr>
          <w:rFonts w:hint="eastAsia" w:cs="方正仿宋简体"/>
          <w:szCs w:val="34"/>
        </w:rPr>
        <w:t>发挥高水平体育赛事的聚集引流效应，将</w:t>
      </w:r>
      <w:r>
        <w:rPr>
          <w:rFonts w:hint="eastAsia"/>
        </w:rPr>
        <w:t>“流量”转化为“留量”，将比赛场地变成打卡点和消费目的地。</w:t>
      </w:r>
      <w:r>
        <w:rPr>
          <w:rFonts w:hint="eastAsia" w:cs="Times New Roman"/>
          <w:kern w:val="28"/>
        </w:rPr>
        <w:t>鼓励发展定向运动等新兴体育赛事，</w:t>
      </w:r>
      <w:r>
        <w:rPr>
          <w:rFonts w:hint="eastAsia"/>
        </w:rPr>
        <w:t>吸引年轻群体。</w:t>
      </w:r>
    </w:p>
    <w:p w14:paraId="5943C403">
      <w:pPr>
        <w:widowControl/>
        <w:ind w:firstLine="640"/>
      </w:pPr>
      <w:r>
        <w:rPr>
          <w:rFonts w:hint="eastAsia" w:eastAsia="楷体" w:cs="楷体"/>
          <w:szCs w:val="32"/>
        </w:rPr>
        <w:t>全面加强旅游宣传推介。</w:t>
      </w:r>
      <w:r>
        <w:rPr>
          <w:rFonts w:hint="eastAsia"/>
        </w:rPr>
        <w:t>组织协调区内外主流媒体平台，深入挖掘旅游资源和活动，围绕“潮白河四季欢乐旅游节”等文旅活动，超前谋划、提前预热强化宣传推介，营造良好文旅氛围，提升“遇见宝坻·印象潮白”旅游品牌知名度。加大宝坻旅游宣传短片在主要客源地媒体的投播力度，以高铁旅游为突破，加强对高铁直达城市的旅游宣传推介，增加高铁广告投入，同步开发高铁沿线客源市场。综合运用微博、微信、客户端等新兴媒体和社交网络，借力旅游电商平台、网络短视频平台、网络社交平台、网络直播平台，策划线上旅游营销活动，强化线上营销和在线旅游产品销售，推出有看头、有玩头的宝坻文化和旅游“网红打卡”项目。</w:t>
      </w:r>
    </w:p>
    <w:p w14:paraId="74A9EDE0">
      <w:pPr>
        <w:widowControl/>
        <w:ind w:firstLine="640"/>
      </w:pPr>
      <w:r>
        <w:rPr>
          <w:rFonts w:hint="eastAsia" w:eastAsia="楷体" w:cs="楷体"/>
          <w:szCs w:val="32"/>
        </w:rPr>
        <w:t>构建宝坻全域智慧旅游体系。</w:t>
      </w:r>
      <w:r>
        <w:rPr>
          <w:rFonts w:hint="eastAsia"/>
        </w:rPr>
        <w:t>开启“互联网+旅游”智慧旅游新时代。建设一批智慧景区、智慧旅行社、智慧酒店、智慧交通设施，培育数字文旅新消费，推动A级旅游景区的游客中心、游客活动集中区域实现Wi</w:t>
      </w:r>
      <w:r>
        <w:t>-</w:t>
      </w:r>
      <w:r>
        <w:rPr>
          <w:rFonts w:hint="eastAsia"/>
        </w:rPr>
        <w:t>Fi全覆盖。将直播电商与旅游结合，鼓励本地农特产品、非遗手工通过直播和短视频等方式进行展示销售，通过网络宣传将线上流量转化为线下流量和旅游客源，全面提升宝坻文旅知名度。</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7BD4F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7A6706D0">
            <w:pPr>
              <w:adjustRightInd w:val="0"/>
              <w:snapToGrid w:val="0"/>
              <w:ind w:firstLine="21" w:firstLineChars="7"/>
              <w:jc w:val="center"/>
              <w:rPr>
                <w:b/>
                <w:sz w:val="30"/>
                <w:szCs w:val="30"/>
              </w:rPr>
            </w:pPr>
            <w:r>
              <w:rPr>
                <w:rFonts w:hint="eastAsia"/>
                <w:b/>
                <w:sz w:val="30"/>
                <w:szCs w:val="30"/>
              </w:rPr>
              <w:t>引领工程之九 “‘遇见宝坻·印象潮白’特色文旅品牌</w:t>
            </w:r>
            <w:r>
              <w:rPr>
                <w:b/>
                <w:sz w:val="30"/>
                <w:szCs w:val="30"/>
              </w:rPr>
              <w:t>IP</w:t>
            </w:r>
            <w:r>
              <w:rPr>
                <w:rFonts w:hint="eastAsia"/>
                <w:b/>
                <w:sz w:val="30"/>
                <w:szCs w:val="30"/>
              </w:rPr>
              <w:t>做优</w:t>
            </w:r>
            <w:r>
              <w:rPr>
                <w:b/>
                <w:sz w:val="30"/>
                <w:szCs w:val="30"/>
              </w:rPr>
              <w:t>”</w:t>
            </w:r>
            <w:r>
              <w:rPr>
                <w:rFonts w:hint="eastAsia"/>
                <w:b/>
                <w:sz w:val="30"/>
                <w:szCs w:val="30"/>
              </w:rPr>
              <w:t>工程</w:t>
            </w:r>
          </w:p>
        </w:tc>
      </w:tr>
      <w:tr w14:paraId="457ED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3E03ABCA">
            <w:pPr>
              <w:widowControl/>
              <w:ind w:firstLine="600"/>
              <w:rPr>
                <w:rFonts w:cs="仿宋_GB2312"/>
                <w:sz w:val="30"/>
                <w:szCs w:val="30"/>
              </w:rPr>
            </w:pPr>
            <w:r>
              <w:rPr>
                <w:rFonts w:hint="eastAsia" w:cs="仿宋_GB2312"/>
                <w:sz w:val="30"/>
                <w:szCs w:val="30"/>
              </w:rPr>
              <w:t>以“遇见宝坻·印象潮白”文旅品牌建设为核心，积极融入京津唐都市休闲旅游圈，</w:t>
            </w:r>
            <w:r>
              <w:rPr>
                <w:rFonts w:hint="eastAsia" w:cs="仿宋_GB2312"/>
                <w:kern w:val="0"/>
                <w:sz w:val="30"/>
                <w:szCs w:val="30"/>
                <w:lang w:bidi="ar"/>
              </w:rPr>
              <w:t>打造京津冀地区独具特色的短途休闲旅游目的地，到2030年，旅游综合收入达到30亿元以上</w:t>
            </w:r>
            <w:r>
              <w:rPr>
                <w:rFonts w:hint="eastAsia" w:cs="仿宋_GB2312"/>
                <w:sz w:val="30"/>
                <w:szCs w:val="30"/>
              </w:rPr>
              <w:t>。</w:t>
            </w:r>
          </w:p>
          <w:p w14:paraId="7A8DB522">
            <w:pPr>
              <w:widowControl/>
              <w:ind w:firstLine="602"/>
              <w:rPr>
                <w:rFonts w:cs="仿宋_GB2312"/>
                <w:sz w:val="30"/>
                <w:szCs w:val="30"/>
              </w:rPr>
            </w:pPr>
            <w:r>
              <w:rPr>
                <w:rFonts w:hint="eastAsia" w:cs="仿宋_GB2312"/>
                <w:b/>
                <w:bCs/>
                <w:sz w:val="30"/>
                <w:szCs w:val="30"/>
              </w:rPr>
              <w:t>（一）以旅游载体建设夯实文旅融合新支撑。</w:t>
            </w:r>
            <w:r>
              <w:rPr>
                <w:rFonts w:hint="eastAsia" w:cs="仿宋_GB2312"/>
                <w:sz w:val="30"/>
                <w:szCs w:val="30"/>
              </w:rPr>
              <w:t>全面建成潮白河·渔生态小镇、绿色低碳小镇、水木三乡小镇、航空文旅小镇、潮白河·漫生活小镇，打造特色镇域发展品牌。创建潮白河国家湿地公园1个4A级旅游景区、晶宝温泉农庄等</w:t>
            </w:r>
            <w:r>
              <w:rPr>
                <w:rFonts w:cs="仿宋_GB2312"/>
                <w:sz w:val="30"/>
                <w:szCs w:val="30"/>
              </w:rPr>
              <w:t>2</w:t>
            </w:r>
            <w:r>
              <w:rPr>
                <w:rFonts w:hint="eastAsia" w:cs="仿宋_GB2312"/>
                <w:sz w:val="30"/>
                <w:szCs w:val="30"/>
              </w:rPr>
              <w:t>个3A级旅游景区，培育潮白辛舍等5个等级民宿。重点打造潮白河生态人文风景廊、箭杆河乡村风景廊、青龙湾运动休闲风景廊三条主要的景观廊道。以小辛码头村、李宦庄村、白毛庄村、宋辛庄村、樊庄子村等为重点，谋划推进潮白河沿岸28个重点旅游村建设，推动其与生态景观等串联成线，推动袁黄水稻国家农业公园、宝坻知青春田园智慧康养小镇建设运营。</w:t>
            </w:r>
          </w:p>
          <w:p w14:paraId="0BC19FB6">
            <w:pPr>
              <w:widowControl/>
              <w:ind w:firstLine="602"/>
              <w:rPr>
                <w:rFonts w:cs="仿宋_GB2312"/>
                <w:sz w:val="30"/>
                <w:szCs w:val="30"/>
              </w:rPr>
            </w:pPr>
            <w:r>
              <w:rPr>
                <w:rFonts w:hint="eastAsia" w:cs="仿宋_GB2312"/>
                <w:b/>
                <w:bCs/>
                <w:sz w:val="30"/>
                <w:szCs w:val="30"/>
              </w:rPr>
              <w:t>（二）以赛事品牌升级打造旅游发展新热点。</w:t>
            </w:r>
            <w:r>
              <w:rPr>
                <w:rFonts w:hint="eastAsia" w:cs="仿宋_GB2312"/>
                <w:bCs/>
                <w:sz w:val="30"/>
                <w:szCs w:val="30"/>
              </w:rPr>
              <w:t>培育壮大赛事经济，</w:t>
            </w:r>
            <w:r>
              <w:rPr>
                <w:rFonts w:hint="eastAsia" w:cs="仿宋_GB2312"/>
                <w:sz w:val="30"/>
                <w:szCs w:val="30"/>
              </w:rPr>
              <w:t>重点提升全国钓鱼锦标赛、潮白湿地半程马拉松、京津冀龙舟赛等品牌赛事影响力，引入2项国家级体育赛事，创新年轻态体育项目，推进京津冀青少年体育交流赛、全国定向挑战赛持续开展，升级空竹邀请赛等赛事，配套非遗与特色农产品展销，形成“赛事+体验+消费”闭环。</w:t>
            </w:r>
          </w:p>
          <w:p w14:paraId="070F014B">
            <w:pPr>
              <w:widowControl/>
              <w:ind w:firstLine="602"/>
              <w:rPr>
                <w:sz w:val="28"/>
                <w:szCs w:val="28"/>
              </w:rPr>
            </w:pPr>
            <w:r>
              <w:rPr>
                <w:rFonts w:hint="eastAsia" w:cs="仿宋_GB2312"/>
                <w:b/>
                <w:bCs/>
                <w:sz w:val="30"/>
                <w:szCs w:val="30"/>
              </w:rPr>
              <w:t>（三）以常态节庆运营激活全域旅游新动能。</w:t>
            </w:r>
            <w:r>
              <w:rPr>
                <w:rFonts w:hint="eastAsia" w:cs="仿宋_GB2312"/>
                <w:sz w:val="30"/>
                <w:szCs w:val="30"/>
              </w:rPr>
              <w:t>持续优化潮白河四季欢乐旅游节、了凡公园新春文化庙会、体育旅游嘉年华三大品牌活动，持续举办韭菜节、采摘季、丰收节、新米节等农事节庆活动，拓展露营、研学、水上游乐等多元场景，支持各街镇结合自身实际丰富农商文旅融合业态。引导市场主体优化商业服务设施布局，全面提升文化旅游服务规范化、品质化水平，健全“吃、住、行、游、购、娱”全链条旅游服务体系，到2030年，形成3—5个具有全国影响力的品牌活动IP。</w:t>
            </w:r>
          </w:p>
        </w:tc>
      </w:tr>
    </w:tbl>
    <w:p w14:paraId="65166A56">
      <w:pPr>
        <w:widowControl/>
        <w:spacing w:line="240" w:lineRule="auto"/>
        <w:ind w:firstLine="0" w:firstLineChars="0"/>
        <w:jc w:val="left"/>
        <w:rPr>
          <w:rFonts w:eastAsia="方正仿宋_GB2312" w:cs="方正仿宋_GB2312"/>
        </w:rPr>
      </w:pPr>
      <w:r>
        <w:rPr>
          <w:rFonts w:eastAsia="方正仿宋_GB2312" w:cs="方正仿宋_GB2312"/>
        </w:rPr>
        <w:br w:type="page"/>
      </w:r>
    </w:p>
    <w:bookmarkEnd w:id="197"/>
    <w:bookmarkEnd w:id="198"/>
    <w:bookmarkEnd w:id="199"/>
    <w:bookmarkEnd w:id="208"/>
    <w:p w14:paraId="4D1E5E18">
      <w:pPr>
        <w:pStyle w:val="2"/>
        <w:spacing w:after="435"/>
        <w:rPr>
          <w:rStyle w:val="24"/>
          <w:rFonts w:ascii="宋体" w:hAnsi="宋体" w:cs="方正小标宋简体"/>
          <w:b w:val="0"/>
          <w:bCs w:val="0"/>
        </w:rPr>
      </w:pPr>
      <w:bookmarkStart w:id="209" w:name="_Toc212560103"/>
      <w:bookmarkStart w:id="210" w:name="_Toc219068748"/>
      <w:bookmarkStart w:id="211" w:name="_Hlk212315832"/>
      <w:r>
        <w:rPr>
          <w:rStyle w:val="24"/>
          <w:rFonts w:hint="eastAsia" w:ascii="宋体" w:hAnsi="宋体" w:cs="方正小标宋简体"/>
          <w:b w:val="0"/>
        </w:rPr>
        <w:t>第五篇</w:t>
      </w:r>
      <w:r>
        <w:rPr>
          <w:rStyle w:val="24"/>
          <w:rFonts w:ascii="宋体" w:hAnsi="宋体" w:cs="方正小标宋简体"/>
          <w:b w:val="0"/>
        </w:rPr>
        <w:t xml:space="preserve">  </w:t>
      </w:r>
      <w:r>
        <w:rPr>
          <w:rStyle w:val="24"/>
          <w:rFonts w:hint="eastAsia" w:ascii="宋体" w:hAnsi="宋体" w:cs="方正小标宋简体"/>
          <w:b w:val="0"/>
        </w:rPr>
        <w:t>加快构建“一核两翼”城市发展格局，加强宜居宜业城市建设，着力补齐民生短板，打造人民安居乐业、幸福生活的“乐享福地”</w:t>
      </w:r>
      <w:bookmarkEnd w:id="209"/>
      <w:bookmarkEnd w:id="210"/>
    </w:p>
    <w:bookmarkEnd w:id="211"/>
    <w:p w14:paraId="09029BE9">
      <w:pPr>
        <w:pStyle w:val="3"/>
        <w:spacing w:before="435" w:after="435"/>
        <w:rPr>
          <w:rFonts w:ascii="宋体" w:hAnsi="宋体"/>
        </w:rPr>
      </w:pPr>
      <w:bookmarkStart w:id="212" w:name="_Toc212560104"/>
      <w:bookmarkStart w:id="213" w:name="_Toc219068749"/>
      <w:r>
        <w:rPr>
          <w:rFonts w:hint="eastAsia" w:ascii="宋体" w:hAnsi="宋体"/>
        </w:rPr>
        <w:t>第十二章</w:t>
      </w:r>
      <w:r>
        <w:rPr>
          <w:rFonts w:ascii="宋体" w:hAnsi="宋体"/>
        </w:rPr>
        <w:t xml:space="preserve">  </w:t>
      </w:r>
      <w:r>
        <w:rPr>
          <w:rFonts w:hint="eastAsia" w:ascii="宋体" w:hAnsi="宋体"/>
        </w:rPr>
        <w:t>践行人民城市理念，全面建设宜居宜业城市</w:t>
      </w:r>
      <w:bookmarkEnd w:id="212"/>
      <w:bookmarkEnd w:id="213"/>
    </w:p>
    <w:p w14:paraId="7AAFD0AE">
      <w:pPr>
        <w:ind w:firstLine="640"/>
      </w:pPr>
      <w:r>
        <w:rPr>
          <w:rFonts w:hint="eastAsia"/>
        </w:rPr>
        <w:t>以“‘一核两翼’城市发展格局深化”工程为引领，实施以人为核心的新型城镇化战略，高标准推进城市规划建设，坚持人口、产业、城镇、交通一体规划、组团发展、协同建设，促进宝坻新城、京津中关村科技城、京津新城和街镇、乡村之间联动发展，建设创新、宜居、美丽、韧性、文明、智慧的现代化城市。</w:t>
      </w:r>
    </w:p>
    <w:p w14:paraId="7578D1DA">
      <w:pPr>
        <w:pStyle w:val="4"/>
        <w:spacing w:before="217" w:after="217"/>
        <w:rPr>
          <w:rStyle w:val="36"/>
        </w:rPr>
      </w:pPr>
      <w:bookmarkStart w:id="214" w:name="_Toc212560105"/>
      <w:bookmarkStart w:id="215" w:name="_Toc211000481"/>
      <w:bookmarkStart w:id="216" w:name="_Toc219068750"/>
      <w:r>
        <w:rPr>
          <w:rFonts w:hint="eastAsia" w:ascii="宋体" w:hAnsi="宋体"/>
        </w:rPr>
        <w:t xml:space="preserve">第一节 </w:t>
      </w:r>
      <w:bookmarkEnd w:id="214"/>
      <w:bookmarkEnd w:id="215"/>
      <w:r>
        <w:rPr>
          <w:rFonts w:hint="eastAsia" w:ascii="宋体" w:hAnsi="宋体"/>
        </w:rPr>
        <w:t>持续提升“一核两翼”发展能级</w:t>
      </w:r>
      <w:bookmarkEnd w:id="216"/>
    </w:p>
    <w:p w14:paraId="4BCCEA08">
      <w:pPr>
        <w:ind w:firstLine="640"/>
      </w:pPr>
      <w:bookmarkStart w:id="217" w:name="_Toc211000482"/>
      <w:bookmarkStart w:id="218" w:name="_Toc212560106"/>
      <w:r>
        <w:rPr>
          <w:rFonts w:hint="eastAsia"/>
        </w:rPr>
        <w:t>深入落实国土空间规划，加快提升宝坻新城城市功能，提速京津中关村科技城发展，盘活搞旺京津新城，到2030年，“一核两翼”城市发展格局全面拉开，城市发展更加协调有序。</w:t>
      </w:r>
    </w:p>
    <w:p w14:paraId="1BDF362C">
      <w:pPr>
        <w:ind w:firstLine="640"/>
      </w:pPr>
      <w:r>
        <w:rPr>
          <w:rFonts w:hint="eastAsia" w:eastAsia="楷体" w:cs="楷体"/>
          <w:szCs w:val="32"/>
        </w:rPr>
        <w:t>优化“一核两翼”发展格局。</w:t>
      </w:r>
      <w:r>
        <w:rPr>
          <w:rFonts w:hint="eastAsia"/>
        </w:rPr>
        <w:t>完善国土空间规划体系，落实优化耕地和永久基本农田、生态保护红线、城镇开发边界等控制线，分区分类实施差别化、精细化用途管制。建立健全国土规划成果动态维护更新机制及规划定期评估制度，完善宝坻新城等重点地区控制性详细规划提升。</w:t>
      </w:r>
      <w:r>
        <w:rPr>
          <w:rFonts w:hint="eastAsia"/>
          <w:b/>
          <w:bCs/>
        </w:rPr>
        <w:t>推动“核心”宝坻新城城市功能提升</w:t>
      </w:r>
      <w:r>
        <w:rPr>
          <w:rFonts w:hint="eastAsia"/>
          <w:b/>
        </w:rPr>
        <w:t>，</w:t>
      </w:r>
      <w:r>
        <w:rPr>
          <w:rFonts w:hint="eastAsia"/>
        </w:rPr>
        <w:t>注重职住平衡，构建“一轴、两带、四片区、五节点”的城区空间布局，强化“南关大街城市发展主轴”，发挥“宝中路产业发展带、潮白新河生态发展带”的聚集带动作用，重点打造“先进制造业片区、宝坻老城片区、潮白河两岸城市片区、高铁站商业商务片区”四片区，沿城市发展轴布局“中关村科创中心、宝坻城市中心、市民服务中心、高铁站商业中心、产业服务中心”五大</w:t>
      </w:r>
      <w:r>
        <w:t>中心节点</w:t>
      </w:r>
      <w:r>
        <w:rPr>
          <w:rFonts w:hint="eastAsia"/>
        </w:rPr>
        <w:t>。</w:t>
      </w:r>
      <w:r>
        <w:rPr>
          <w:rFonts w:hint="eastAsia"/>
          <w:b/>
          <w:bCs/>
        </w:rPr>
        <w:t>推动“北翼”京津中关村科技城提速发展，</w:t>
      </w:r>
      <w:r>
        <w:rPr>
          <w:rFonts w:hint="eastAsia"/>
        </w:rPr>
        <w:t>聚焦建成京津协作高质量产城融合示范区目标，坚持“产城人景文”一体化方向，着力构建“一核、三轴、四群落”发展格局。发挥“中央智力核心”核心功能，打造“宝中道产业发展轴、北关大街城市发展轴、西环北路城市形象轴”三条特色轴带，建设“产城样本群落、成果转化群落、科教医养群落、产业集群群落”四大群落。</w:t>
      </w:r>
      <w:r>
        <w:rPr>
          <w:rFonts w:hint="eastAsia"/>
          <w:b/>
          <w:bCs/>
        </w:rPr>
        <w:t>推动“南翼”京津新城盘活搞旺，</w:t>
      </w:r>
      <w:r>
        <w:rPr>
          <w:rFonts w:hint="eastAsia"/>
        </w:rPr>
        <w:t>坚持“产业、教育、文旅、康养”四位一体发展，构建包括“北部</w:t>
      </w:r>
      <w:r>
        <w:t>教育中心</w:t>
      </w:r>
      <w:r>
        <w:rPr>
          <w:rFonts w:hint="eastAsia"/>
        </w:rPr>
        <w:t>、</w:t>
      </w:r>
      <w:r>
        <w:t>中部生活居住中心</w:t>
      </w:r>
      <w:r>
        <w:rPr>
          <w:rFonts w:hint="eastAsia"/>
        </w:rPr>
        <w:t>、</w:t>
      </w:r>
      <w:r>
        <w:t>南部产业配套中心</w:t>
      </w:r>
      <w:r>
        <w:rPr>
          <w:rFonts w:hint="eastAsia"/>
        </w:rPr>
        <w:t>”和“现代教育片区、休闲娱乐片区、产城示范片区”的“三心三片区”的城区空间结构。</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561DE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Borders>
              <w:top w:val="single" w:color="000000" w:sz="4" w:space="0"/>
              <w:left w:val="single" w:color="000000" w:sz="4" w:space="0"/>
              <w:bottom w:val="single" w:color="000000" w:sz="4" w:space="0"/>
              <w:right w:val="single" w:color="000000" w:sz="4" w:space="0"/>
            </w:tcBorders>
          </w:tcPr>
          <w:p w14:paraId="7D8E920F">
            <w:pPr>
              <w:ind w:firstLine="602"/>
              <w:jc w:val="center"/>
              <w:rPr>
                <w:rFonts w:cs="Times New Roman"/>
                <w:szCs w:val="32"/>
              </w:rPr>
            </w:pPr>
            <w:r>
              <w:rPr>
                <w:rFonts w:hint="eastAsia"/>
                <w:b/>
                <w:bCs/>
                <w:sz w:val="30"/>
                <w:szCs w:val="30"/>
              </w:rPr>
              <w:t>引领工程之十 “‘一核两翼’城市发展格局深化”工程</w:t>
            </w:r>
          </w:p>
        </w:tc>
      </w:tr>
      <w:tr w14:paraId="5E45E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Borders>
              <w:top w:val="single" w:color="000000" w:sz="4" w:space="0"/>
              <w:left w:val="single" w:color="000000" w:sz="4" w:space="0"/>
              <w:bottom w:val="single" w:color="000000" w:sz="4" w:space="0"/>
              <w:right w:val="single" w:color="000000" w:sz="4" w:space="0"/>
            </w:tcBorders>
          </w:tcPr>
          <w:p w14:paraId="413D3471">
            <w:pPr>
              <w:ind w:firstLine="600"/>
              <w:rPr>
                <w:sz w:val="30"/>
                <w:szCs w:val="30"/>
              </w:rPr>
            </w:pPr>
            <w:r>
              <w:rPr>
                <w:rFonts w:hint="eastAsia"/>
                <w:sz w:val="30"/>
                <w:szCs w:val="30"/>
              </w:rPr>
              <w:t>将“一核两翼”作为全区空间发展和经济建设的主轴线和发力点。通过城市更新、环境提质、配套完善等措施，深化宝坻“一核两翼”的城市发展格局。</w:t>
            </w:r>
          </w:p>
          <w:p w14:paraId="73FAA692">
            <w:pPr>
              <w:ind w:firstLine="602"/>
              <w:rPr>
                <w:sz w:val="30"/>
                <w:szCs w:val="30"/>
              </w:rPr>
            </w:pPr>
            <w:r>
              <w:rPr>
                <w:rFonts w:hint="eastAsia"/>
                <w:b/>
                <w:bCs/>
                <w:sz w:val="30"/>
                <w:szCs w:val="30"/>
              </w:rPr>
              <w:t>（一）“一核”宝坻新城。</w:t>
            </w:r>
            <w:r>
              <w:rPr>
                <w:rFonts w:hint="eastAsia"/>
                <w:b/>
                <w:sz w:val="30"/>
                <w:szCs w:val="30"/>
              </w:rPr>
              <w:t>推动宝坻老城区和劝宝超市片区城市更新项目，</w:t>
            </w:r>
            <w:r>
              <w:rPr>
                <w:rFonts w:hint="eastAsia"/>
                <w:sz w:val="30"/>
                <w:szCs w:val="30"/>
              </w:rPr>
              <w:t>以实施“南关大街市民中心”“南关大街城市发展轴”为统领，以劝宝商圈重塑和周边老旧小区改造为契机，打造宝坻都市商业活力新高地、新型人居环境新高地。</w:t>
            </w:r>
            <w:r>
              <w:rPr>
                <w:rFonts w:hint="eastAsia"/>
                <w:b/>
                <w:sz w:val="30"/>
                <w:szCs w:val="30"/>
              </w:rPr>
              <w:t>持续推动高铁宝坻站片区建设，</w:t>
            </w:r>
            <w:r>
              <w:rPr>
                <w:rFonts w:hint="eastAsia"/>
                <w:sz w:val="30"/>
                <w:szCs w:val="30"/>
              </w:rPr>
              <w:t>打造潮白河商旅聚集载体，推进乐雅商圈和吾悦广场消费圈建设，整合商旅4.0街区、购物中心等商业资源，打造潮白河生态人文风景廊，将城区南北两侧的现状建成区与高铁站前区有机联系为一体。</w:t>
            </w:r>
            <w:r>
              <w:rPr>
                <w:rFonts w:hint="eastAsia"/>
                <w:b/>
                <w:sz w:val="30"/>
                <w:szCs w:val="30"/>
              </w:rPr>
              <w:t>完善城区公共服务设施配套和服务功能，</w:t>
            </w:r>
            <w:r>
              <w:rPr>
                <w:rFonts w:hint="eastAsia"/>
                <w:sz w:val="30"/>
                <w:szCs w:val="30"/>
              </w:rPr>
              <w:t>开展完整社区建设，推动传统商业街改造，不断提升商圈品质，完善一刻钟便民生活圈。</w:t>
            </w:r>
          </w:p>
          <w:p w14:paraId="193E7F08">
            <w:pPr>
              <w:ind w:firstLine="602"/>
              <w:rPr>
                <w:sz w:val="30"/>
                <w:szCs w:val="30"/>
              </w:rPr>
            </w:pPr>
            <w:r>
              <w:rPr>
                <w:rFonts w:hint="eastAsia"/>
                <w:b/>
                <w:bCs/>
                <w:sz w:val="30"/>
                <w:szCs w:val="30"/>
              </w:rPr>
              <w:t>（二）“北翼”京津中关村科技城。</w:t>
            </w:r>
            <w:r>
              <w:rPr>
                <w:rFonts w:hint="eastAsia"/>
                <w:b/>
                <w:sz w:val="30"/>
                <w:szCs w:val="30"/>
              </w:rPr>
              <w:t>完善交通路网，</w:t>
            </w:r>
            <w:r>
              <w:rPr>
                <w:rFonts w:hint="eastAsia"/>
                <w:sz w:val="30"/>
                <w:szCs w:val="30"/>
              </w:rPr>
              <w:t>推进智慧交通建设，以“强化衔接、智慧赋能”为核心，同步提升对外连通性与内部通行效率。</w:t>
            </w:r>
            <w:r>
              <w:rPr>
                <w:rFonts w:hint="eastAsia"/>
                <w:b/>
                <w:sz w:val="30"/>
                <w:szCs w:val="30"/>
              </w:rPr>
              <w:t>加快市政基础设施建设，</w:t>
            </w:r>
            <w:r>
              <w:rPr>
                <w:rFonts w:hint="eastAsia"/>
                <w:sz w:val="30"/>
                <w:szCs w:val="30"/>
              </w:rPr>
              <w:t>完善消防站、能源站、污水处理厂等市政基础设施，推进环卫、绿化、供水、供热及管网管理升级，</w:t>
            </w:r>
            <w:r>
              <w:rPr>
                <w:sz w:val="30"/>
                <w:szCs w:val="30"/>
              </w:rPr>
              <w:t>完善园区污水集中收集与处理体系</w:t>
            </w:r>
            <w:r>
              <w:rPr>
                <w:rFonts w:hint="eastAsia"/>
                <w:sz w:val="30"/>
                <w:szCs w:val="30"/>
              </w:rPr>
              <w:t>。</w:t>
            </w:r>
            <w:r>
              <w:rPr>
                <w:b/>
                <w:sz w:val="30"/>
                <w:szCs w:val="30"/>
              </w:rPr>
              <w:t>探索创新园区综合能源管理，</w:t>
            </w:r>
            <w:r>
              <w:rPr>
                <w:sz w:val="30"/>
                <w:szCs w:val="30"/>
              </w:rPr>
              <w:t>搭建“京津绿电直供网络”</w:t>
            </w:r>
            <w:r>
              <w:rPr>
                <w:rFonts w:hint="eastAsia"/>
                <w:sz w:val="30"/>
                <w:szCs w:val="30"/>
              </w:rPr>
              <w:t>，</w:t>
            </w:r>
            <w:r>
              <w:rPr>
                <w:sz w:val="30"/>
                <w:szCs w:val="30"/>
              </w:rPr>
              <w:t>开展多能互补、光储充一体化等能源综合利用</w:t>
            </w:r>
            <w:r>
              <w:rPr>
                <w:rFonts w:hint="eastAsia"/>
                <w:sz w:val="30"/>
                <w:szCs w:val="30"/>
              </w:rPr>
              <w:t>，打造高效绿色低碳园区。</w:t>
            </w:r>
            <w:r>
              <w:rPr>
                <w:b/>
                <w:sz w:val="30"/>
                <w:szCs w:val="30"/>
              </w:rPr>
              <w:t>加快数字基础设施建设，</w:t>
            </w:r>
            <w:r>
              <w:rPr>
                <w:sz w:val="30"/>
                <w:szCs w:val="30"/>
              </w:rPr>
              <w:t>完善科技城5G基站布局</w:t>
            </w:r>
            <w:r>
              <w:rPr>
                <w:rFonts w:hint="eastAsia"/>
                <w:sz w:val="30"/>
                <w:szCs w:val="30"/>
              </w:rPr>
              <w:t>，</w:t>
            </w:r>
            <w:r>
              <w:rPr>
                <w:sz w:val="30"/>
                <w:szCs w:val="30"/>
              </w:rPr>
              <w:t>适时引入“数字孪生”城市模型</w:t>
            </w:r>
            <w:r>
              <w:rPr>
                <w:rFonts w:hint="eastAsia"/>
                <w:sz w:val="30"/>
                <w:szCs w:val="30"/>
              </w:rPr>
              <w:t>，</w:t>
            </w:r>
            <w:r>
              <w:rPr>
                <w:sz w:val="30"/>
                <w:szCs w:val="30"/>
              </w:rPr>
              <w:t>赋能城市治理</w:t>
            </w:r>
            <w:r>
              <w:rPr>
                <w:rFonts w:hint="eastAsia"/>
                <w:sz w:val="30"/>
                <w:szCs w:val="30"/>
              </w:rPr>
              <w:t>。</w:t>
            </w:r>
            <w:r>
              <w:rPr>
                <w:rFonts w:hint="eastAsia"/>
                <w:b/>
                <w:sz w:val="30"/>
                <w:szCs w:val="30"/>
              </w:rPr>
              <w:t>建设高水平公共服务体系，</w:t>
            </w:r>
            <w:r>
              <w:rPr>
                <w:rFonts w:hint="eastAsia"/>
                <w:sz w:val="30"/>
                <w:szCs w:val="30"/>
              </w:rPr>
              <w:t>加快南开中学中关村科技城学校高质量发展，推进汇衡高中项目建设，引进京津两市优质医疗资源。</w:t>
            </w:r>
            <w:r>
              <w:rPr>
                <w:rFonts w:hint="eastAsia"/>
                <w:b/>
                <w:sz w:val="30"/>
                <w:szCs w:val="30"/>
              </w:rPr>
              <w:t>提高生活服务保障，</w:t>
            </w:r>
            <w:r>
              <w:rPr>
                <w:rFonts w:hint="eastAsia"/>
                <w:sz w:val="30"/>
                <w:szCs w:val="30"/>
              </w:rPr>
              <w:t>统筹引进金融、餐饮、商超等功能配套，基本建成科技研发、创新创业、生活服务、生态环境均衡协同发展的产城融合新典范，全力塑造“中关村新地址·年轻人科技城”的独特品牌与人文内核。</w:t>
            </w:r>
            <w:r>
              <w:rPr>
                <w:sz w:val="30"/>
                <w:szCs w:val="30"/>
              </w:rPr>
              <w:t xml:space="preserve"> </w:t>
            </w:r>
          </w:p>
          <w:p w14:paraId="0E65CA79">
            <w:pPr>
              <w:ind w:firstLine="602"/>
              <w:rPr>
                <w:b/>
              </w:rPr>
            </w:pPr>
            <w:r>
              <w:rPr>
                <w:rFonts w:hint="eastAsia"/>
                <w:b/>
                <w:bCs/>
                <w:sz w:val="30"/>
                <w:szCs w:val="30"/>
              </w:rPr>
              <w:t>（三）“南翼”京津新城。</w:t>
            </w:r>
            <w:r>
              <w:rPr>
                <w:rFonts w:hint="eastAsia"/>
                <w:sz w:val="30"/>
                <w:szCs w:val="30"/>
              </w:rPr>
              <w:t>立足推动教育集群、强化文旅赋能、提升功能建设、培育新兴产业等核心发展路径，加速打造宝坻新“南翼”。</w:t>
            </w:r>
            <w:r>
              <w:rPr>
                <w:rFonts w:hint="eastAsia"/>
                <w:b/>
                <w:sz w:val="30"/>
                <w:szCs w:val="30"/>
              </w:rPr>
              <w:t>打造优质教育集群，</w:t>
            </w:r>
            <w:r>
              <w:rPr>
                <w:rFonts w:hint="eastAsia"/>
                <w:sz w:val="30"/>
                <w:szCs w:val="30"/>
              </w:rPr>
              <w:t>引入一批高等院校，推动天津全人职业大专项目建成落地，目标建成涵盖7所本专科院校、3所中职学校的全市重要的高教集聚区。</w:t>
            </w:r>
            <w:r>
              <w:rPr>
                <w:rFonts w:hint="eastAsia"/>
                <w:b/>
                <w:sz w:val="30"/>
                <w:szCs w:val="30"/>
              </w:rPr>
              <w:t>培育特色文旅产业，</w:t>
            </w:r>
            <w:r>
              <w:rPr>
                <w:rFonts w:hint="eastAsia"/>
                <w:sz w:val="30"/>
                <w:szCs w:val="30"/>
              </w:rPr>
              <w:t>拓展温泉疗养、旅游休闲等功能，赋能大觉禅寺、玉佛宫等现有旅游项目，推动重点旅游项目建设。</w:t>
            </w:r>
            <w:r>
              <w:rPr>
                <w:rFonts w:hint="eastAsia"/>
                <w:b/>
                <w:sz w:val="30"/>
                <w:szCs w:val="30"/>
              </w:rPr>
              <w:t>提升城市功能配置，</w:t>
            </w:r>
            <w:r>
              <w:rPr>
                <w:rFonts w:hint="eastAsia"/>
                <w:sz w:val="30"/>
                <w:szCs w:val="30"/>
              </w:rPr>
              <w:t>加快引进医疗资源，加大地热资源多元开发利用力度，加快推动京津新城排水设施提升改造、雨污水管网系统更新改造、地下供水管网更新改造等工程顺利完工。</w:t>
            </w:r>
            <w:r>
              <w:rPr>
                <w:rFonts w:hint="eastAsia"/>
                <w:b/>
                <w:sz w:val="30"/>
                <w:szCs w:val="30"/>
              </w:rPr>
              <w:t>引入高端商业项目和医疗康养项目，</w:t>
            </w:r>
            <w:r>
              <w:rPr>
                <w:rFonts w:hint="eastAsia"/>
                <w:sz w:val="30"/>
                <w:szCs w:val="30"/>
              </w:rPr>
              <w:t>推动产业聚能起势，加快国家农业高新技术产业示范区核心区先导区建设，布局“低空+”新业态，打造京津冀低空产业应用示范区。</w:t>
            </w:r>
          </w:p>
        </w:tc>
      </w:tr>
    </w:tbl>
    <w:p w14:paraId="00F2B8EB">
      <w:pPr>
        <w:pStyle w:val="4"/>
        <w:spacing w:before="217" w:after="217"/>
        <w:rPr>
          <w:rFonts w:ascii="宋体" w:hAnsi="宋体"/>
        </w:rPr>
      </w:pPr>
      <w:bookmarkStart w:id="219" w:name="_Toc219068751"/>
      <w:r>
        <w:rPr>
          <w:rFonts w:hint="eastAsia" w:ascii="宋体" w:hAnsi="宋体"/>
        </w:rPr>
        <w:t xml:space="preserve">第二节 </w:t>
      </w:r>
      <w:bookmarkEnd w:id="217"/>
      <w:bookmarkEnd w:id="218"/>
      <w:r>
        <w:rPr>
          <w:rFonts w:hint="eastAsia" w:ascii="宋体" w:hAnsi="宋体"/>
        </w:rPr>
        <w:t>统筹推进城市更新与盘活存量</w:t>
      </w:r>
      <w:bookmarkEnd w:id="219"/>
    </w:p>
    <w:p w14:paraId="6A68445E">
      <w:pPr>
        <w:ind w:firstLine="640"/>
      </w:pPr>
      <w:r>
        <w:rPr>
          <w:rFonts w:hint="eastAsia" w:cs="仿宋_GB2312"/>
          <w:kern w:val="0"/>
          <w:szCs w:val="32"/>
        </w:rPr>
        <w:t>有序推进城市更新，加快盘活存量资源，通过导入新业态补全城市短板，塑造宝坻城区多样的城市风貌。</w:t>
      </w:r>
    </w:p>
    <w:p w14:paraId="2E7B7944">
      <w:pPr>
        <w:ind w:firstLine="640"/>
      </w:pPr>
      <w:r>
        <w:rPr>
          <w:rFonts w:hint="eastAsia" w:eastAsia="楷体" w:cs="楷体"/>
          <w:szCs w:val="32"/>
        </w:rPr>
        <w:t>积极推进城市更新。</w:t>
      </w:r>
      <w:r>
        <w:rPr>
          <w:rFonts w:hint="eastAsia" w:cs="仿宋_GB2312"/>
          <w:kern w:val="0"/>
          <w:szCs w:val="32"/>
        </w:rPr>
        <w:t>编制实施城市更新专项规划，深入挖掘老城区历史文化资源潜力，通过导入文、商、旅、创、服等业态，盘活老旧厂区，推进了凡公园、京东第一集、城西滨河绿廊等升级改造，打造京畿旅游“新地标”。以老城区和劝宝超市片区为重点，积极谋划城市危旧住房、老旧街区转型提质，提升</w:t>
      </w:r>
      <w:r>
        <w:rPr>
          <w:rFonts w:hint="eastAsia"/>
        </w:rPr>
        <w:t>城市空间环境品质。推动老城核心区范围内城市更新，整体提升老城空间环境质量，完善基础设施及公共服务设施，将老城及周边地区打造为人文会客厅、魅力新商圈、文旅目的地。推动劝宝超市片区城市更新，重塑劝宝商圈，构建宝坻商业中心和城市活力核心。实施京津新城旅游服务设施提升改造，稳步提升京津新城文旅产业吸引力。推进朝霞街道肖家</w:t>
      </w:r>
      <w:r>
        <w:rPr>
          <w:rFonts w:hint="eastAsia" w:ascii="方正仿宋_GBK" w:eastAsia="方正仿宋_GBK" w:cs="微软雅黑"/>
        </w:rPr>
        <w:t>堼</w:t>
      </w:r>
      <w:r>
        <w:rPr>
          <w:rFonts w:hint="eastAsia" w:cs="仿宋_GB2312"/>
        </w:rPr>
        <w:t>庄村、刘</w:t>
      </w:r>
      <w:r>
        <w:rPr>
          <w:rFonts w:hint="eastAsia"/>
        </w:rPr>
        <w:t>举人庄村城中村改造项目。</w:t>
      </w:r>
    </w:p>
    <w:p w14:paraId="1F44B77B">
      <w:pPr>
        <w:ind w:firstLine="640"/>
      </w:pPr>
      <w:r>
        <w:rPr>
          <w:rFonts w:hint="eastAsia" w:eastAsia="楷体" w:cs="楷体"/>
          <w:szCs w:val="32"/>
        </w:rPr>
        <w:t>加快</w:t>
      </w:r>
      <w:r>
        <w:rPr>
          <w:rFonts w:eastAsia="楷体" w:cs="楷体"/>
          <w:szCs w:val="32"/>
        </w:rPr>
        <w:t>盘活</w:t>
      </w:r>
      <w:r>
        <w:rPr>
          <w:rFonts w:hint="eastAsia" w:eastAsia="楷体" w:cs="楷体"/>
          <w:szCs w:val="32"/>
        </w:rPr>
        <w:t>存量资源。</w:t>
      </w:r>
      <w:r>
        <w:rPr>
          <w:rFonts w:hint="eastAsia"/>
        </w:rPr>
        <w:t>加强存量资源资产梳理与规划，强化政府引导与市场运作结合，探索资产资本化运营模式，探索建立闲置低效用地再开发激励机制，推动老旧低效楼宇、低效产业园区等低效闲置资源更新利用。</w:t>
      </w:r>
      <w:r>
        <w:rPr>
          <w:rFonts w:hint="eastAsia"/>
          <w:b/>
          <w:bCs/>
        </w:rPr>
        <w:t>闲置低效工业项目及商业项目，</w:t>
      </w:r>
      <w:r>
        <w:rPr>
          <w:rFonts w:hint="eastAsia"/>
          <w:bCs/>
        </w:rPr>
        <w:t>依托</w:t>
      </w:r>
      <w:r>
        <w:rPr>
          <w:rFonts w:hint="eastAsia"/>
        </w:rPr>
        <w:t>“二次开发”，通过改造、重组、转型等措施，盘活停工停建、闲置未用、经营不善、效益低下的工业商业项目，全力推动海滨物流城、九园石材城、佰豪酒店等盘活利用，积极推动引入新主体、新产业。</w:t>
      </w:r>
      <w:r>
        <w:rPr>
          <w:rFonts w:hint="eastAsia"/>
          <w:b/>
          <w:bCs/>
        </w:rPr>
        <w:t>闲置低效国有资源资产，</w:t>
      </w:r>
      <w:r>
        <w:rPr>
          <w:rFonts w:hint="eastAsia"/>
          <w:bCs/>
        </w:rPr>
        <w:t>按照</w:t>
      </w:r>
      <w:r>
        <w:rPr>
          <w:rFonts w:hint="eastAsia"/>
        </w:rPr>
        <w:t>“集中运营、分类处置”的原则，推进行政事业单位存量国有资产和被查封冻结财产的有效盘活，加快保障性住房相关资产、国有企业土地房产和国有企业各类专业资质、专利、商标的盘活利用，实现保值增值。深挖宝坻老字号品牌、知识产权无形资产价值潜力。</w:t>
      </w:r>
    </w:p>
    <w:p w14:paraId="709C4E9B">
      <w:pPr>
        <w:pStyle w:val="4"/>
        <w:spacing w:before="217" w:after="217"/>
        <w:rPr>
          <w:rFonts w:ascii="宋体" w:hAnsi="宋体"/>
        </w:rPr>
      </w:pPr>
      <w:bookmarkStart w:id="220" w:name="_Toc211000483"/>
      <w:bookmarkStart w:id="221" w:name="_Toc212560107"/>
      <w:bookmarkStart w:id="222" w:name="_Toc219068752"/>
      <w:r>
        <w:rPr>
          <w:rFonts w:hint="eastAsia" w:ascii="宋体" w:hAnsi="宋体"/>
        </w:rPr>
        <w:t xml:space="preserve">第三节 </w:t>
      </w:r>
      <w:bookmarkEnd w:id="220"/>
      <w:r>
        <w:rPr>
          <w:rFonts w:hint="eastAsia" w:ascii="宋体" w:hAnsi="宋体"/>
        </w:rPr>
        <w:t>加强宜居韧性城市建设</w:t>
      </w:r>
      <w:bookmarkEnd w:id="221"/>
      <w:bookmarkEnd w:id="222"/>
    </w:p>
    <w:p w14:paraId="0CEF1EAD">
      <w:pPr>
        <w:ind w:firstLine="640"/>
      </w:pPr>
      <w:r>
        <w:rPr>
          <w:rFonts w:hint="eastAsia"/>
        </w:rPr>
        <w:t>推动城市绿色低碳转型，进一步加强宜居韧性城市建设。完善和提升城市交通、市政等基础设施体系，建设海绵城市，不断强化城市韧性、改善城市环境，全面提升城市建设水平。</w:t>
      </w:r>
    </w:p>
    <w:p w14:paraId="2A4FE299">
      <w:pPr>
        <w:ind w:firstLine="640"/>
      </w:pPr>
      <w:bookmarkStart w:id="223" w:name="_Toc211000484"/>
      <w:r>
        <w:rPr>
          <w:rFonts w:hint="eastAsia" w:eastAsia="楷体" w:cs="楷体"/>
          <w:szCs w:val="32"/>
        </w:rPr>
        <w:t>构建现代化基础设施体系。</w:t>
      </w:r>
      <w:r>
        <w:rPr>
          <w:rFonts w:hint="eastAsia" w:cs="仿宋_GB2312"/>
          <w:spacing w:val="-6"/>
          <w:szCs w:val="32"/>
        </w:rPr>
        <w:t>优化路网布局，</w:t>
      </w:r>
      <w:r>
        <w:rPr>
          <w:rFonts w:hint="eastAsia"/>
        </w:rPr>
        <w:t>提升区内联通水平，加快西环路潮白河大桥桥梁主体建设，塑造城市特色枢纽。</w:t>
      </w:r>
      <w:r>
        <w:rPr>
          <w:rFonts w:hint="eastAsia" w:cs="Times New Roman"/>
        </w:rPr>
        <w:t>推进智慧交通建设，引入智能交通管理系统，通过实时监控、动态路径规划，提升交通运行效率与管理水平。</w:t>
      </w:r>
      <w:r>
        <w:rPr>
          <w:rFonts w:hint="eastAsia"/>
        </w:rPr>
        <w:t>系统推进供排水、能源、通信等基础设施新建和数智化改造，推动宝坻新城第二水厂建成投用，推进覆盖15万户的智能清洁壁挂炉推广项目，加力建设风电、光电等新型能源基础设施。分年度、有序推进城市老旧管网改造，优化电力、供热等骨干管网布局，加快高铁新区及宝坻新城管网建设，推进京津新城供热管网及设施更新改造项目。加强停车位、充电桩等便民设施建设，提高运行效率。加强城市基础设施生命线安全工程、平急两用公共基础设施建设，完善极端情况下应急管理体系，不断强化城市供应保障能力。</w:t>
      </w:r>
    </w:p>
    <w:p w14:paraId="578A52FE">
      <w:pPr>
        <w:ind w:firstLine="640"/>
      </w:pPr>
      <w:r>
        <w:rPr>
          <w:rFonts w:hint="eastAsia" w:eastAsia="楷体" w:cs="楷体"/>
          <w:szCs w:val="32"/>
        </w:rPr>
        <w:t>积极推进海绵城市建设。</w:t>
      </w:r>
      <w:r>
        <w:rPr>
          <w:rFonts w:hint="eastAsia"/>
        </w:rPr>
        <w:t>建设安全可靠的韧性城市，将治水与治城紧密结合，统筹城市发展和安全。增强城市水灾害防御能力，以生态、安全、活力的海绵建设塑造宝坻区城市新形象，</w:t>
      </w:r>
      <w:r>
        <w:t>强化海绵建设“渗、滞、净、排”工程措施，建设引排得当、循环畅通、蓄泄兼筹、丰枯调剂的海绵宝坻。</w:t>
      </w:r>
    </w:p>
    <w:p w14:paraId="3826FDA8">
      <w:pPr>
        <w:ind w:firstLine="640"/>
        <w:rPr>
          <w:rFonts w:ascii="仿宋_GB2312" w:cs="仿宋"/>
          <w:szCs w:val="32"/>
        </w:rPr>
      </w:pPr>
      <w:r>
        <w:rPr>
          <w:rFonts w:hint="eastAsia" w:eastAsia="楷体" w:cs="楷体"/>
          <w:szCs w:val="32"/>
        </w:rPr>
        <w:t>做好城市绿化整体提升。</w:t>
      </w:r>
      <w:r>
        <w:rPr>
          <w:rFonts w:hint="eastAsia"/>
        </w:rPr>
        <w:t>优化城市蓝绿空间，健全城市公园和绿道网络体系，推动园林绿化从“达标建设”向“品质提升”转型，打造“京津腹地绿美新城”，建成国家园林城市。</w:t>
      </w:r>
      <w:r>
        <w:rPr>
          <w:rFonts w:hint="eastAsia"/>
          <w:b/>
          <w:bCs/>
        </w:rPr>
        <w:t>全域公园系统提质增量，</w:t>
      </w:r>
      <w:r>
        <w:rPr>
          <w:rFonts w:hint="eastAsia"/>
        </w:rPr>
        <w:t>升级打造标志性综合公园1个，新建改造口袋公园20个，重点填补城区服务半径空白区域，到2030年，实现城市公园绿地服务半径覆盖率达80%以上。</w:t>
      </w:r>
      <w:r>
        <w:rPr>
          <w:rFonts w:hint="eastAsia" w:ascii="仿宋_GB2312" w:cs="仿宋"/>
          <w:b/>
          <w:bCs/>
          <w:szCs w:val="32"/>
        </w:rPr>
        <w:t>绿化核心指标全面达标，</w:t>
      </w:r>
      <w:r>
        <w:rPr>
          <w:rFonts w:hint="eastAsia" w:cs="仿宋"/>
          <w:szCs w:val="32"/>
        </w:rPr>
        <w:t>推进城区道路绿化升级、小区绿化改造及立体绿化建设，到2030年，建成区绿化覆盖率达41%、绿地率达40%、人均公园绿地面积达20平方米，宝坻区园林绿化核心指标全面达到国家园林城市标准，建成“推窗见绿、出门入园、蓝绿交织、人文相融”的绿化格局。</w:t>
      </w:r>
    </w:p>
    <w:p w14:paraId="1D57626D">
      <w:pPr>
        <w:ind w:firstLine="640"/>
      </w:pPr>
      <w:r>
        <w:rPr>
          <w:rFonts w:hint="eastAsia" w:eastAsia="楷体" w:cs="楷体"/>
          <w:szCs w:val="32"/>
        </w:rPr>
        <w:t>提升城市治理现代化水平。</w:t>
      </w:r>
      <w:r>
        <w:rPr>
          <w:rFonts w:hint="eastAsia"/>
        </w:rPr>
        <w:t>践行人民城市理念，以人为核心，加强大城细管、大城智管、大城众管，实现城市治理的精细化、智能化和多元化，加快数字宝坻建设，全面提升城市运转质效。</w:t>
      </w:r>
      <w:r>
        <w:rPr>
          <w:rFonts w:hint="eastAsia"/>
          <w:b/>
          <w:bCs/>
        </w:rPr>
        <w:t>促进城市治理精细化，</w:t>
      </w:r>
      <w:r>
        <w:rPr>
          <w:rFonts w:hint="eastAsia"/>
        </w:rPr>
        <w:t>在细管上精益求精，下足“绣花”功夫，深入实施社区净化绿化美化行动，从解决停车难、垃圾分类、小区微改造等群众身边的具体事务入手，精准施策，消除治理盲区。</w:t>
      </w:r>
      <w:r>
        <w:rPr>
          <w:rFonts w:hint="eastAsia"/>
          <w:b/>
          <w:bCs/>
        </w:rPr>
        <w:t>推动城市治理智能化，</w:t>
      </w:r>
      <w:r>
        <w:rPr>
          <w:rFonts w:hint="eastAsia"/>
        </w:rPr>
        <w:t>在智管上拓景赋能，以智能网联公交开通为契机，充分利用大数据、物联网、云计算、人工智能等现代化信息技术，推动城市智慧平台建设，构建“城市大脑”，推进城市运行“一网统管”。搭建智慧停车云平台系统，推进新建道路智慧路灯设施建设。</w:t>
      </w:r>
      <w:r>
        <w:rPr>
          <w:rFonts w:hint="eastAsia"/>
          <w:b/>
          <w:bCs/>
        </w:rPr>
        <w:t>实现城市治理多元化，</w:t>
      </w:r>
      <w:r>
        <w:rPr>
          <w:rFonts w:hint="eastAsia"/>
        </w:rPr>
        <w:t>在众管上凝心聚力，引导社会组织、志愿者团体等社会力量参与城市的公共服务和城市管理，搭建多样化的参与平台，畅通民意表达渠道，激发社会组织活力。</w:t>
      </w:r>
      <w:bookmarkEnd w:id="223"/>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20A74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40FF5EB5">
            <w:pPr>
              <w:adjustRightInd w:val="0"/>
              <w:snapToGrid w:val="0"/>
              <w:ind w:firstLine="0" w:firstLineChars="0"/>
              <w:jc w:val="center"/>
              <w:rPr>
                <w:sz w:val="30"/>
                <w:szCs w:val="30"/>
              </w:rPr>
            </w:pPr>
            <w:r>
              <w:rPr>
                <w:b/>
                <w:sz w:val="30"/>
                <w:szCs w:val="30"/>
              </w:rPr>
              <w:t xml:space="preserve">专栏5 </w:t>
            </w:r>
            <w:r>
              <w:rPr>
                <w:rFonts w:hint="eastAsia" w:cs="Times New Roman"/>
                <w:b/>
                <w:sz w:val="30"/>
                <w:szCs w:val="30"/>
              </w:rPr>
              <w:t>“一核两翼</w:t>
            </w:r>
            <w:r>
              <w:rPr>
                <w:rFonts w:cs="Times New Roman"/>
                <w:b/>
                <w:sz w:val="30"/>
                <w:szCs w:val="30"/>
              </w:rPr>
              <w:t>”</w:t>
            </w:r>
            <w:r>
              <w:rPr>
                <w:rFonts w:hint="eastAsia" w:cs="Times New Roman"/>
                <w:b/>
                <w:sz w:val="30"/>
                <w:szCs w:val="30"/>
              </w:rPr>
              <w:t>城市发展格局深化</w:t>
            </w:r>
            <w:r>
              <w:rPr>
                <w:b/>
                <w:sz w:val="30"/>
                <w:szCs w:val="30"/>
              </w:rPr>
              <w:t>项目</w:t>
            </w:r>
          </w:p>
        </w:tc>
      </w:tr>
      <w:tr w14:paraId="51BA5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6E171082">
            <w:pPr>
              <w:adjustRightInd w:val="0"/>
              <w:snapToGrid w:val="0"/>
              <w:ind w:firstLine="602"/>
              <w:rPr>
                <w:sz w:val="30"/>
                <w:szCs w:val="30"/>
              </w:rPr>
            </w:pPr>
            <w:r>
              <w:rPr>
                <w:rFonts w:hint="eastAsia"/>
                <w:b/>
                <w:bCs/>
                <w:sz w:val="30"/>
                <w:szCs w:val="30"/>
              </w:rPr>
              <w:t>（一）老城区城市更新项目。</w:t>
            </w:r>
            <w:r>
              <w:rPr>
                <w:rFonts w:hint="eastAsia"/>
                <w:sz w:val="30"/>
                <w:szCs w:val="30"/>
              </w:rPr>
              <w:t>占地面积约8.8平方公里，以老城为核心的重点区域占地约1.45平方公里。</w:t>
            </w:r>
          </w:p>
          <w:p w14:paraId="629B7326">
            <w:pPr>
              <w:adjustRightInd w:val="0"/>
              <w:snapToGrid w:val="0"/>
              <w:ind w:firstLine="602"/>
              <w:rPr>
                <w:sz w:val="30"/>
                <w:szCs w:val="30"/>
              </w:rPr>
            </w:pPr>
            <w:r>
              <w:rPr>
                <w:rFonts w:hint="eastAsia"/>
                <w:b/>
                <w:bCs/>
                <w:sz w:val="30"/>
                <w:szCs w:val="30"/>
              </w:rPr>
              <w:t>（二）宝坻区劝宝超市片区城市更新项目。</w:t>
            </w:r>
            <w:r>
              <w:rPr>
                <w:rFonts w:hint="eastAsia"/>
                <w:sz w:val="30"/>
                <w:szCs w:val="30"/>
              </w:rPr>
              <w:t>占地面积131.5公顷，主要更新改造内容包括劝宝天街（都市活力商业中心）、低碳社区住宅和老旧小区环境提升。</w:t>
            </w:r>
          </w:p>
          <w:p w14:paraId="1061C4D7">
            <w:pPr>
              <w:adjustRightInd w:val="0"/>
              <w:snapToGrid w:val="0"/>
              <w:ind w:firstLine="602"/>
              <w:rPr>
                <w:sz w:val="30"/>
                <w:szCs w:val="30"/>
              </w:rPr>
            </w:pPr>
            <w:r>
              <w:rPr>
                <w:rFonts w:hint="eastAsia"/>
                <w:b/>
                <w:bCs/>
                <w:sz w:val="30"/>
                <w:szCs w:val="30"/>
              </w:rPr>
              <w:t>（三）交通基础设施建设</w:t>
            </w:r>
            <w:r>
              <w:rPr>
                <w:b/>
                <w:bCs/>
                <w:sz w:val="30"/>
                <w:szCs w:val="30"/>
              </w:rPr>
              <w:t>项目</w:t>
            </w:r>
            <w:r>
              <w:rPr>
                <w:rFonts w:hint="eastAsia"/>
                <w:b/>
                <w:bCs/>
                <w:sz w:val="30"/>
                <w:szCs w:val="30"/>
              </w:rPr>
              <w:t>。</w:t>
            </w:r>
            <w:r>
              <w:rPr>
                <w:rFonts w:hint="eastAsia"/>
                <w:sz w:val="30"/>
                <w:szCs w:val="30"/>
              </w:rPr>
              <w:t>开展宝武公路（平宝公路—津围公路联络线）改建、西环路潮白河大桥桥梁主体建设、高铁新区基础设施配套建设、</w:t>
            </w:r>
            <w:r>
              <w:rPr>
                <w:sz w:val="30"/>
                <w:szCs w:val="30"/>
              </w:rPr>
              <w:t>高铁新区南部片区基础设施配套</w:t>
            </w:r>
            <w:r>
              <w:rPr>
                <w:rFonts w:hint="eastAsia"/>
                <w:sz w:val="30"/>
                <w:szCs w:val="30"/>
              </w:rPr>
              <w:t>建设。</w:t>
            </w:r>
          </w:p>
          <w:p w14:paraId="6D73267B">
            <w:pPr>
              <w:adjustRightInd w:val="0"/>
              <w:snapToGrid w:val="0"/>
              <w:ind w:firstLine="602"/>
              <w:rPr>
                <w:sz w:val="30"/>
                <w:szCs w:val="30"/>
              </w:rPr>
            </w:pPr>
            <w:r>
              <w:rPr>
                <w:rFonts w:hint="eastAsia"/>
                <w:b/>
                <w:bCs/>
                <w:sz w:val="30"/>
                <w:szCs w:val="30"/>
              </w:rPr>
              <w:t>（四）给水能力提升改造项目。</w:t>
            </w:r>
            <w:r>
              <w:rPr>
                <w:rFonts w:hint="eastAsia"/>
                <w:sz w:val="30"/>
                <w:szCs w:val="30"/>
              </w:rPr>
              <w:t>开展宝坻新城第二水厂建设、宝坻新城供水能力提升、京津新城供水管网及设施更新改造。</w:t>
            </w:r>
          </w:p>
          <w:p w14:paraId="2B354E59">
            <w:pPr>
              <w:adjustRightInd w:val="0"/>
              <w:snapToGrid w:val="0"/>
              <w:ind w:firstLine="602"/>
              <w:rPr>
                <w:sz w:val="30"/>
                <w:szCs w:val="30"/>
              </w:rPr>
            </w:pPr>
            <w:r>
              <w:rPr>
                <w:rFonts w:hint="eastAsia"/>
                <w:b/>
                <w:bCs/>
                <w:sz w:val="30"/>
                <w:szCs w:val="30"/>
              </w:rPr>
              <w:t>（五）排水能力提升改造项目。</w:t>
            </w:r>
            <w:r>
              <w:rPr>
                <w:rFonts w:hint="eastAsia"/>
                <w:sz w:val="30"/>
                <w:szCs w:val="30"/>
              </w:rPr>
              <w:t>开展宝坻区排水泵站更新改造，开展宝坻新城、周良街道（京津新城）及高铁新城排水设施提升改造。</w:t>
            </w:r>
          </w:p>
          <w:p w14:paraId="41053AB3">
            <w:pPr>
              <w:adjustRightInd w:val="0"/>
              <w:snapToGrid w:val="0"/>
              <w:ind w:firstLine="602"/>
              <w:rPr>
                <w:sz w:val="30"/>
                <w:szCs w:val="30"/>
              </w:rPr>
            </w:pPr>
            <w:r>
              <w:rPr>
                <w:rFonts w:hint="eastAsia"/>
                <w:b/>
                <w:bCs/>
                <w:sz w:val="30"/>
                <w:szCs w:val="30"/>
              </w:rPr>
              <w:t>（六）燃气设施提升改造项目。</w:t>
            </w:r>
            <w:r>
              <w:rPr>
                <w:rFonts w:hint="eastAsia"/>
                <w:bCs/>
                <w:sz w:val="30"/>
                <w:szCs w:val="30"/>
              </w:rPr>
              <w:t>开展</w:t>
            </w:r>
            <w:r>
              <w:rPr>
                <w:rFonts w:hint="eastAsia"/>
                <w:sz w:val="30"/>
                <w:szCs w:val="30"/>
              </w:rPr>
              <w:t>宝坻区燃气综合安全智能化升级及设施提升改造、京津新城管网系统更新改造、宝坻区城市地下生命线工程一期建设，推动宝坻区老旧燃气设施安全节能改造提升。</w:t>
            </w:r>
          </w:p>
          <w:p w14:paraId="168E0C7A">
            <w:pPr>
              <w:adjustRightInd w:val="0"/>
              <w:snapToGrid w:val="0"/>
              <w:ind w:firstLine="602"/>
              <w:rPr>
                <w:sz w:val="30"/>
                <w:szCs w:val="30"/>
              </w:rPr>
            </w:pPr>
            <w:r>
              <w:rPr>
                <w:rFonts w:hint="eastAsia"/>
                <w:b/>
                <w:bCs/>
                <w:sz w:val="30"/>
                <w:szCs w:val="30"/>
              </w:rPr>
              <w:t>（七）供热设施提升改造项目。</w:t>
            </w:r>
            <w:r>
              <w:rPr>
                <w:rFonts w:hint="eastAsia"/>
                <w:bCs/>
                <w:sz w:val="30"/>
                <w:szCs w:val="30"/>
              </w:rPr>
              <w:t>开展</w:t>
            </w:r>
            <w:r>
              <w:rPr>
                <w:rFonts w:hint="eastAsia"/>
                <w:sz w:val="30"/>
                <w:szCs w:val="30"/>
              </w:rPr>
              <w:t>香江健康小镇片区供热管网及设施改造（一期）。</w:t>
            </w:r>
          </w:p>
        </w:tc>
      </w:tr>
    </w:tbl>
    <w:p w14:paraId="5D571F2B">
      <w:pPr>
        <w:pStyle w:val="4"/>
        <w:spacing w:before="217" w:after="217"/>
        <w:rPr>
          <w:rFonts w:ascii="宋体" w:hAnsi="宋体"/>
        </w:rPr>
      </w:pPr>
      <w:bookmarkStart w:id="224" w:name="_Toc219068753"/>
      <w:r>
        <w:rPr>
          <w:rFonts w:hint="eastAsia" w:ascii="宋体" w:hAnsi="宋体"/>
        </w:rPr>
        <w:t xml:space="preserve">第四节 </w:t>
      </w:r>
      <w:r>
        <w:rPr>
          <w:rFonts w:hint="eastAsia" w:ascii="宋体" w:hAnsi="宋体"/>
          <w:bCs/>
        </w:rPr>
        <w:t>持续推进强街强镇建设</w:t>
      </w:r>
      <w:bookmarkEnd w:id="224"/>
    </w:p>
    <w:p w14:paraId="48FE76A5">
      <w:pPr>
        <w:ind w:firstLine="640"/>
      </w:pPr>
      <w:r>
        <w:rPr>
          <w:rFonts w:hint="eastAsia" w:eastAsia="楷体" w:cs="楷体"/>
          <w:szCs w:val="32"/>
        </w:rPr>
        <w:t>深入推进以人为本的新型城镇化。</w:t>
      </w:r>
      <w:r>
        <w:rPr>
          <w:rFonts w:hint="eastAsia"/>
        </w:rPr>
        <w:t>实施产业配套设施提质增效、市政公用设施提档升级、公共服务设施提标扩面、环境基础设施提级扩能4项工程。改善街镇发展条件和环境，增强就业供给、生活服务和生态保护功能，建成连接“一核两翼”、辐射带动周边乡村地区的就业中心和公共服务中心。</w:t>
      </w:r>
    </w:p>
    <w:p w14:paraId="172B22BE">
      <w:pPr>
        <w:ind w:firstLine="640"/>
      </w:pPr>
      <w:r>
        <w:rPr>
          <w:rFonts w:hint="eastAsia" w:eastAsia="楷体" w:cs="楷体"/>
          <w:szCs w:val="32"/>
        </w:rPr>
        <w:t>以重点镇辐射带动城乡发展。</w:t>
      </w:r>
      <w:r>
        <w:rPr>
          <w:rFonts w:hint="eastAsia"/>
        </w:rPr>
        <w:t>打造口东镇、大口屯镇、林亭口镇、新安镇4个重点镇。</w:t>
      </w:r>
      <w:r>
        <w:rPr>
          <w:rFonts w:hint="eastAsia"/>
          <w:b/>
          <w:bCs/>
        </w:rPr>
        <w:t>口东镇，</w:t>
      </w:r>
      <w:r>
        <w:rPr>
          <w:rFonts w:hint="eastAsia"/>
        </w:rPr>
        <w:t>立足产业兴镇，重点发展现代农业、文旅融合和绿色能源产业，建设成为特色农产品种植基地、高端智能化产业园区、三产融合发展示范镇；</w:t>
      </w:r>
      <w:r>
        <w:rPr>
          <w:rFonts w:hint="eastAsia"/>
          <w:b/>
          <w:bCs/>
        </w:rPr>
        <w:t>大口屯镇，</w:t>
      </w:r>
      <w:r>
        <w:rPr>
          <w:rFonts w:hint="eastAsia"/>
        </w:rPr>
        <w:t>建设乡村生活与生态观光区，发展成为以高效设施农业与服装轻纺产业为主的重点镇；</w:t>
      </w:r>
      <w:r>
        <w:rPr>
          <w:rFonts w:hint="eastAsia"/>
          <w:b/>
          <w:bCs/>
        </w:rPr>
        <w:t>林亭口镇，</w:t>
      </w:r>
      <w:r>
        <w:rPr>
          <w:rFonts w:hint="eastAsia"/>
        </w:rPr>
        <w:t>重点建设绿色农业产业基地，成为华北地区的“三辣”批发、深加工、交易基地；</w:t>
      </w:r>
      <w:r>
        <w:rPr>
          <w:rFonts w:hint="eastAsia"/>
          <w:b/>
          <w:bCs/>
        </w:rPr>
        <w:t>新安镇，</w:t>
      </w:r>
      <w:r>
        <w:rPr>
          <w:rFonts w:hint="eastAsia"/>
        </w:rPr>
        <w:t>建设成为宝坻区特色农副产品基地、以劳动密集型产业为主的加工区。</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6412C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0C5607C2">
            <w:pPr>
              <w:adjustRightInd w:val="0"/>
              <w:snapToGrid w:val="0"/>
              <w:ind w:firstLine="0" w:firstLineChars="0"/>
              <w:jc w:val="center"/>
              <w:rPr>
                <w:b/>
                <w:sz w:val="30"/>
                <w:szCs w:val="30"/>
              </w:rPr>
            </w:pPr>
            <w:r>
              <w:rPr>
                <w:b/>
                <w:sz w:val="30"/>
                <w:szCs w:val="30"/>
              </w:rPr>
              <w:t>专栏</w:t>
            </w:r>
            <w:r>
              <w:rPr>
                <w:rFonts w:eastAsia="宋体"/>
                <w:b/>
                <w:sz w:val="30"/>
                <w:szCs w:val="30"/>
              </w:rPr>
              <w:t>6</w:t>
            </w:r>
            <w:r>
              <w:rPr>
                <w:b/>
                <w:sz w:val="30"/>
                <w:szCs w:val="30"/>
              </w:rPr>
              <w:t xml:space="preserve"> </w:t>
            </w:r>
            <w:r>
              <w:rPr>
                <w:rFonts w:hint="eastAsia"/>
                <w:b/>
                <w:sz w:val="30"/>
                <w:szCs w:val="30"/>
              </w:rPr>
              <w:t>加快重点镇高质量发展</w:t>
            </w:r>
          </w:p>
          <w:p w14:paraId="26FC12FF">
            <w:pPr>
              <w:spacing w:line="560" w:lineRule="exact"/>
              <w:ind w:firstLine="602"/>
              <w:rPr>
                <w:rFonts w:cs="仿宋_GB2312"/>
                <w:sz w:val="30"/>
                <w:szCs w:val="30"/>
              </w:rPr>
            </w:pPr>
            <w:r>
              <w:rPr>
                <w:rFonts w:hint="eastAsia" w:cs="仿宋_GB2312"/>
                <w:b/>
                <w:sz w:val="30"/>
                <w:szCs w:val="30"/>
              </w:rPr>
              <w:t>（一）口东镇。</w:t>
            </w:r>
            <w:r>
              <w:rPr>
                <w:rFonts w:hint="eastAsia" w:cs="仿宋_GB2312"/>
                <w:bCs/>
                <w:sz w:val="30"/>
                <w:szCs w:val="30"/>
              </w:rPr>
              <w:t>加快现代农业提档升级，</w:t>
            </w:r>
            <w:r>
              <w:rPr>
                <w:rFonts w:hint="eastAsia" w:cs="仿宋_GB2312"/>
                <w:sz w:val="30"/>
                <w:szCs w:val="30"/>
              </w:rPr>
              <w:t>稳步推进“三辣唤醒”计划，强化八台港鲜桃、五叶齐大葱等特色农产品品牌建设。</w:t>
            </w:r>
            <w:r>
              <w:rPr>
                <w:rFonts w:hint="eastAsia" w:cs="仿宋_GB2312"/>
                <w:bCs/>
                <w:sz w:val="30"/>
                <w:szCs w:val="30"/>
              </w:rPr>
              <w:t>深化文旅融合发展，</w:t>
            </w:r>
            <w:r>
              <w:rPr>
                <w:rFonts w:hint="eastAsia" w:cs="仿宋_GB2312"/>
                <w:sz w:val="30"/>
                <w:szCs w:val="30"/>
              </w:rPr>
              <w:t>继续办好八台港桃花节、迷你马拉松、采摘节、鲁文庄稻田滑冰等赛事活动。</w:t>
            </w:r>
            <w:r>
              <w:rPr>
                <w:rFonts w:hint="eastAsia" w:cs="仿宋_GB2312"/>
                <w:bCs/>
                <w:sz w:val="30"/>
                <w:szCs w:val="30"/>
              </w:rPr>
              <w:t>推动绿色能源发展</w:t>
            </w:r>
            <w:r>
              <w:rPr>
                <w:rFonts w:hint="eastAsia" w:cs="仿宋_GB2312"/>
                <w:sz w:val="30"/>
                <w:szCs w:val="30"/>
              </w:rPr>
              <w:t>，加快集中式风电项目建设，打造渔光互补示范项目，实现“水上发电、水下养殖”的集约化土地利用模式，为区域能源结构优化与产业融合发展提供新路径。</w:t>
            </w:r>
          </w:p>
          <w:p w14:paraId="478661BA">
            <w:pPr>
              <w:spacing w:line="560" w:lineRule="exact"/>
              <w:ind w:firstLine="602"/>
              <w:rPr>
                <w:rFonts w:cs="仿宋_GB2312"/>
                <w:sz w:val="30"/>
                <w:szCs w:val="30"/>
              </w:rPr>
            </w:pPr>
            <w:r>
              <w:rPr>
                <w:rFonts w:hint="eastAsia" w:cs="仿宋_GB2312"/>
                <w:b/>
                <w:bCs/>
                <w:sz w:val="30"/>
                <w:szCs w:val="30"/>
              </w:rPr>
              <w:t>（二）大口屯镇。</w:t>
            </w:r>
            <w:r>
              <w:rPr>
                <w:rFonts w:hint="eastAsia" w:cs="仿宋_GB2312"/>
                <w:sz w:val="30"/>
                <w:szCs w:val="30"/>
              </w:rPr>
              <w:t>加强天津青龙湾</w:t>
            </w:r>
            <w:r>
              <w:rPr>
                <w:rFonts w:hint="eastAsia"/>
                <w:sz w:val="28"/>
              </w:rPr>
              <w:t>森林公园</w:t>
            </w:r>
            <w:r>
              <w:rPr>
                <w:rFonts w:hint="eastAsia" w:cs="仿宋_GB2312"/>
                <w:sz w:val="30"/>
                <w:szCs w:val="30"/>
              </w:rPr>
              <w:t>的生态保护和生态修复，持续办好京津冀青龙湾森林半程马拉松比赛。推动大口屯镇集中式风力发电项目和大口屯镇寇庄村、杨家庄村商业服务业设施项目建设。守护特色非遗，深挖茶棚女红布艺、杨庄木杆秤制作技艺、树尔窝琉璃制作技艺等非遗项目，助推文旅融合发展。</w:t>
            </w:r>
          </w:p>
          <w:p w14:paraId="4C7F2898">
            <w:pPr>
              <w:spacing w:line="560" w:lineRule="exact"/>
              <w:ind w:firstLine="602"/>
              <w:rPr>
                <w:rFonts w:cs="仿宋_GB2312"/>
                <w:sz w:val="30"/>
                <w:szCs w:val="30"/>
              </w:rPr>
            </w:pPr>
            <w:r>
              <w:rPr>
                <w:rFonts w:hint="eastAsia" w:cs="仿宋_GB2312"/>
                <w:b/>
                <w:bCs/>
                <w:sz w:val="30"/>
                <w:szCs w:val="30"/>
              </w:rPr>
              <w:t>（三）林亭口镇。</w:t>
            </w:r>
            <w:r>
              <w:rPr>
                <w:rFonts w:hint="eastAsia" w:cs="仿宋_GB2312"/>
                <w:sz w:val="30"/>
                <w:szCs w:val="30"/>
              </w:rPr>
              <w:t>围绕林亭口镇“津农津品”品牌认证，推动“三辣”产业规模化发展。扩大宝坻区大蒜协会影响力，大力支持智能数字乡村宝坻大蒜产业园建设，以数字化赋能产业提质增效，构建产加销一体化现代产业体系。提速绿色能源布局，全力推动集中式风电项目落地建设。推进袁黄水稻国家农业公园、葫芦窝理想村和小靳庄村箭杆河沿岸旅居康养产业带谋划及建设工作。</w:t>
            </w:r>
          </w:p>
          <w:p w14:paraId="5119C55D">
            <w:pPr>
              <w:spacing w:line="560" w:lineRule="exact"/>
              <w:ind w:firstLine="602"/>
              <w:rPr>
                <w:rFonts w:eastAsia="楷体_GB2312"/>
                <w:b/>
                <w:sz w:val="30"/>
                <w:szCs w:val="30"/>
              </w:rPr>
            </w:pPr>
            <w:r>
              <w:rPr>
                <w:rFonts w:hint="eastAsia" w:cs="仿宋_GB2312"/>
                <w:b/>
                <w:bCs/>
                <w:sz w:val="30"/>
                <w:szCs w:val="30"/>
              </w:rPr>
              <w:t>（四）新安镇。</w:t>
            </w:r>
            <w:r>
              <w:rPr>
                <w:rFonts w:hint="eastAsia" w:cs="仿宋_GB2312"/>
                <w:sz w:val="30"/>
                <w:szCs w:val="30"/>
              </w:rPr>
              <w:t>持续擦亮新安农业特色招牌，打响“源坻香”鳅田大米、绿色韭菜等特色农产品品牌，推动新安镇高品质韭菜扩容项目落地见效。进一步深化与农科院合作，种植培育新品种，产业发展开启新赛道。</w:t>
            </w:r>
          </w:p>
        </w:tc>
      </w:tr>
    </w:tbl>
    <w:p w14:paraId="6F07DAA9">
      <w:pPr>
        <w:ind w:firstLine="640"/>
        <w:rPr>
          <w:rFonts w:eastAsia="黑体" w:cstheme="majorBidi"/>
          <w:sz w:val="36"/>
          <w:szCs w:val="40"/>
        </w:rPr>
      </w:pPr>
      <w:r>
        <w:rPr>
          <w:rFonts w:hint="eastAsia" w:eastAsia="楷体" w:cs="楷体"/>
          <w:szCs w:val="32"/>
        </w:rPr>
        <w:t>不断壮大街镇经济实力。</w:t>
      </w:r>
      <w:r>
        <w:rPr>
          <w:rFonts w:hint="eastAsia"/>
        </w:rPr>
        <w:t>推动镇域经济成为城乡融合发展与经济提质增效的主要支撑，深耕特色产业赛道，促进城乡要素双向流动。区分城市服务、工业主导、农业优先、文旅赋能、生态功能等不同类型，培育壮大特色经济和支柱产业，因地制宜推进绿色发展，打造一批产业强、环境优、特色鲜明的强街强镇。实施“亿元镇”培育工程，强化政策精准支持与优质产业导入，分梯队、分阶段推动镇域经济向更高发展能级跃升，促进街镇错位发展、百花齐放。到2030年，税收超亿元骨干街镇达半数以上，超2亿元标杆街镇5个以上。</w:t>
      </w:r>
      <w:r>
        <w:br w:type="page"/>
      </w:r>
    </w:p>
    <w:p w14:paraId="18F57D06">
      <w:pPr>
        <w:pStyle w:val="3"/>
        <w:spacing w:before="435" w:after="435"/>
        <w:rPr>
          <w:rFonts w:ascii="宋体" w:hAnsi="宋体"/>
        </w:rPr>
      </w:pPr>
      <w:bookmarkStart w:id="225" w:name="_Toc212560109"/>
      <w:bookmarkStart w:id="226" w:name="_Toc219068754"/>
      <w:r>
        <w:rPr>
          <w:rFonts w:hint="eastAsia" w:ascii="宋体" w:hAnsi="宋体"/>
        </w:rPr>
        <w:t>第十三章</w:t>
      </w:r>
      <w:r>
        <w:rPr>
          <w:rFonts w:ascii="宋体" w:hAnsi="宋体"/>
        </w:rPr>
        <w:t xml:space="preserve">  </w:t>
      </w:r>
      <w:bookmarkEnd w:id="225"/>
      <w:r>
        <w:rPr>
          <w:rFonts w:hint="eastAsia" w:ascii="宋体" w:hAnsi="宋体"/>
        </w:rPr>
        <w:t>着力提高人民生活品质，扎实推进共同富裕</w:t>
      </w:r>
      <w:bookmarkEnd w:id="226"/>
    </w:p>
    <w:p w14:paraId="24D94795">
      <w:pPr>
        <w:ind w:firstLine="640"/>
      </w:pPr>
      <w:r>
        <w:rPr>
          <w:rFonts w:hint="eastAsia"/>
        </w:rPr>
        <w:t>坚持把保障居民安居乐业作为头等大事，大力发展民生和社会事业，尽力而为、量力而行，稳步推进基本公共服务均等化，以“全民增收提级”工程为引领，提高居民生活水平，不断满足群众日益增长的美好生活需要。</w:t>
      </w:r>
    </w:p>
    <w:p w14:paraId="19B4C2C8">
      <w:pPr>
        <w:pStyle w:val="4"/>
        <w:spacing w:before="217" w:after="217"/>
        <w:rPr>
          <w:rFonts w:ascii="宋体" w:hAnsi="宋体"/>
        </w:rPr>
      </w:pPr>
      <w:bookmarkStart w:id="227" w:name="_Toc219068755"/>
      <w:bookmarkStart w:id="228" w:name="_Toc212560110"/>
      <w:r>
        <w:rPr>
          <w:rFonts w:hint="eastAsia" w:ascii="宋体" w:hAnsi="宋体"/>
        </w:rPr>
        <w:t>第一节 推动实施扩就业促增收</w:t>
      </w:r>
      <w:bookmarkEnd w:id="227"/>
      <w:bookmarkEnd w:id="228"/>
    </w:p>
    <w:p w14:paraId="2C0479E1">
      <w:pPr>
        <w:ind w:firstLine="640"/>
        <w:contextualSpacing/>
        <w:rPr>
          <w:rFonts w:cs="Times New Roman"/>
          <w:szCs w:val="32"/>
        </w:rPr>
      </w:pPr>
      <w:r>
        <w:rPr>
          <w:rFonts w:hint="eastAsia" w:cs="Times New Roman"/>
          <w:szCs w:val="32"/>
        </w:rPr>
        <w:t>以实现全体人民共同富裕为目标</w:t>
      </w:r>
      <w:r>
        <w:rPr>
          <w:rFonts w:cs="Times New Roman"/>
          <w:szCs w:val="32"/>
        </w:rPr>
        <w:t>，推动就业服务优化、创业支持及收入分配改善，规范分配秩序，</w:t>
      </w:r>
      <w:r>
        <w:rPr>
          <w:rFonts w:hint="eastAsia" w:cs="Times New Roman"/>
          <w:szCs w:val="32"/>
        </w:rPr>
        <w:t>扩</w:t>
      </w:r>
      <w:r>
        <w:rPr>
          <w:rFonts w:cs="Times New Roman"/>
          <w:szCs w:val="32"/>
        </w:rPr>
        <w:t>就业促增收。</w:t>
      </w:r>
    </w:p>
    <w:p w14:paraId="56431E9C">
      <w:pPr>
        <w:pStyle w:val="20"/>
        <w:widowControl/>
        <w:ind w:firstLine="563" w:firstLineChars="176"/>
        <w:jc w:val="both"/>
        <w:rPr>
          <w:rFonts w:ascii="宋体" w:hAnsi="宋体" w:eastAsia="仿宋_GB2312" w:cs="Times New Roman"/>
          <w:kern w:val="2"/>
          <w:sz w:val="32"/>
          <w:szCs w:val="32"/>
        </w:rPr>
      </w:pPr>
      <w:bookmarkStart w:id="229" w:name="_Toc212560111"/>
      <w:r>
        <w:rPr>
          <w:rFonts w:hint="eastAsia" w:ascii="宋体" w:hAnsi="宋体" w:eastAsia="楷体" w:cs="楷体"/>
          <w:kern w:val="2"/>
          <w:sz w:val="32"/>
          <w:szCs w:val="32"/>
        </w:rPr>
        <w:t>完善就业保障措施。</w:t>
      </w:r>
      <w:r>
        <w:rPr>
          <w:rFonts w:hint="eastAsia" w:ascii="宋体" w:hAnsi="宋体" w:eastAsia="仿宋_GB2312" w:cs="Times New Roman"/>
          <w:kern w:val="2"/>
          <w:sz w:val="32"/>
          <w:szCs w:val="32"/>
        </w:rPr>
        <w:t>深入实施就业优先战略，加强产业和就业协同，拓展高附加值就业岗位，推动灵活就业、新就业形态健康发展，支持企业稳岗扩岗，到2030年，实现新增就业3.5万人。强化招聘服务供给，推行由常住地登记户口提供基本公共服务制度，构建就业友好型发展模式，扩大就业容量，提升就业质量，健全终身职业技能培训制度，强化择业和用人观念引导，营造公平就业环境。打造多元化就业平台，积极培育新职业新岗位，整合职业培训、岗位匹配、技能认证等资源，鼓励企业数字化转型，增强劳动者就业竞争力。完善就业支持和公共服务体系，建设区域性数字就业服务平台，推动“互联网+就业服务”全覆盖。保障重点群体就业，聚焦重点群体，实施精准帮扶专项行动，到2030年，力争就业困难群体帮扶率达100%。促进高校毕业生、农民工等重点群体就业，加大残疾人等困难群体公益性岗位安置力度。完善就业影响评估和监测预警，有效防范规模性失业风险，“十五五”期间，城镇调查失业率控制在5.5％内。健全创业支持体系，搭建孵化平台，全力激发市场主体创新创业活力。</w:t>
      </w:r>
    </w:p>
    <w:p w14:paraId="48AE62E6">
      <w:pPr>
        <w:ind w:firstLine="640"/>
        <w:contextualSpacing/>
        <w:rPr>
          <w:szCs w:val="24"/>
        </w:rPr>
      </w:pPr>
      <w:r>
        <w:rPr>
          <w:rFonts w:hint="eastAsia" w:eastAsia="楷体" w:cs="楷体"/>
          <w:szCs w:val="32"/>
        </w:rPr>
        <w:t>优化收入增长分配机制。</w:t>
      </w:r>
      <w:r>
        <w:rPr>
          <w:rFonts w:hint="eastAsia"/>
        </w:rPr>
        <w:t>规范收入分配秩序，完善劳动者工资决定、合理增长、支付保障机制，多渠道增加城乡居民财产性收入。</w:t>
      </w:r>
      <w:r>
        <w:rPr>
          <w:rFonts w:hint="eastAsia"/>
          <w:szCs w:val="24"/>
        </w:rPr>
        <w:t>抢抓战略性新兴产业布局机遇，加快推动高端产业集聚发展，通过产业链延伸带动就业链、人才链、创新链等深度融合，催生新技术、新业态、新模式，拓展高附加值就业岗位，形成企业发展与员工收入增长的良性循环。加大劳动法律法规的执行力度，保障劳动者合法权益，确保工资按时足额发放，加大欠薪整治力度，让劳动者收入增长有坚实的制度保障。</w:t>
      </w:r>
      <w:r>
        <w:rPr>
          <w:rFonts w:hint="eastAsia"/>
        </w:rPr>
        <w:t>实施城乡居民增收计划，优化收入增长分配机制。</w:t>
      </w:r>
      <w:r>
        <w:rPr>
          <w:rFonts w:hint="eastAsia"/>
          <w:szCs w:val="24"/>
        </w:rPr>
        <w:t>积极构建新时代和谐劳动关系，保障劳动者合法权益。促进和规范公益慈善事业发展，改善收入和财富分配格局。</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31D0F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4F8EBAAF">
            <w:pPr>
              <w:adjustRightInd w:val="0"/>
              <w:snapToGrid w:val="0"/>
              <w:ind w:firstLine="0" w:firstLineChars="0"/>
              <w:jc w:val="center"/>
              <w:rPr>
                <w:sz w:val="30"/>
                <w:szCs w:val="30"/>
              </w:rPr>
            </w:pPr>
            <w:r>
              <w:rPr>
                <w:rFonts w:hint="eastAsia"/>
                <w:b/>
                <w:sz w:val="30"/>
                <w:szCs w:val="30"/>
              </w:rPr>
              <w:t>引领工程之十一</w:t>
            </w:r>
            <w:r>
              <w:rPr>
                <w:b/>
                <w:sz w:val="30"/>
                <w:szCs w:val="30"/>
              </w:rPr>
              <w:t xml:space="preserve"> </w:t>
            </w:r>
            <w:r>
              <w:rPr>
                <w:rFonts w:hint="eastAsia"/>
                <w:b/>
                <w:sz w:val="30"/>
                <w:szCs w:val="30"/>
              </w:rPr>
              <w:t>“</w:t>
            </w:r>
            <w:r>
              <w:rPr>
                <w:b/>
                <w:sz w:val="30"/>
                <w:szCs w:val="30"/>
              </w:rPr>
              <w:t>全民增收提级</w:t>
            </w:r>
            <w:r>
              <w:rPr>
                <w:rFonts w:hint="eastAsia"/>
                <w:b/>
                <w:sz w:val="30"/>
                <w:szCs w:val="30"/>
              </w:rPr>
              <w:t>”</w:t>
            </w:r>
            <w:r>
              <w:rPr>
                <w:b/>
                <w:sz w:val="30"/>
                <w:szCs w:val="30"/>
              </w:rPr>
              <w:t>工程</w:t>
            </w:r>
          </w:p>
        </w:tc>
      </w:tr>
      <w:tr w14:paraId="52D11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7DB6DB40">
            <w:pPr>
              <w:adjustRightInd w:val="0"/>
              <w:snapToGrid w:val="0"/>
              <w:ind w:firstLine="600"/>
              <w:rPr>
                <w:sz w:val="30"/>
                <w:szCs w:val="30"/>
              </w:rPr>
            </w:pPr>
            <w:r>
              <w:rPr>
                <w:rFonts w:hint="eastAsia"/>
                <w:sz w:val="30"/>
                <w:szCs w:val="30"/>
              </w:rPr>
              <w:t>以全民增收提级工程为抓手，依托区位优势和产业基础，深度融入京津冀协同发展战略，聚焦新动能培育与高质量就业协同推进，推动产业与就业深度融合，扩就业促增收。</w:t>
            </w:r>
          </w:p>
          <w:p w14:paraId="4D785A46">
            <w:pPr>
              <w:adjustRightInd w:val="0"/>
              <w:snapToGrid w:val="0"/>
              <w:ind w:firstLine="602"/>
              <w:rPr>
                <w:sz w:val="30"/>
                <w:szCs w:val="30"/>
              </w:rPr>
            </w:pPr>
            <w:r>
              <w:rPr>
                <w:rFonts w:hint="eastAsia"/>
                <w:b/>
                <w:bCs/>
                <w:sz w:val="30"/>
                <w:szCs w:val="30"/>
              </w:rPr>
              <w:t>（一）完善就业创业服务配套保障。</w:t>
            </w:r>
            <w:r>
              <w:rPr>
                <w:rFonts w:hint="eastAsia"/>
                <w:sz w:val="30"/>
                <w:szCs w:val="30"/>
              </w:rPr>
              <w:t>优化线上“互联网+就业”平台，加强线下就业服务场所的建设和管理，打造“家门口”就业服务站。开展高校毕业生等青年就业指导，落实最低工资标准与经济增长、社会平均工资增长联动机制，加快构建以技能为导向的薪酬分配制度。通过举办招聘会、开展劳务协作等活动，拓宽就业渠道，促进劳动力资源的合理流动和优化配置，每年联合开展京津冀协同发展招聘活动不少于3场。合理设置事业单位招聘岗位，保障事业单位定向招聘应届高校毕业生人数占全年计划招聘总人数的50%。推进公共就业服务“五进”主题招聘活动，探索推行“线上+线下”双轨联动新模式，每年组织开展各类招聘活动不少于100场。</w:t>
            </w:r>
          </w:p>
          <w:p w14:paraId="7982AD38">
            <w:pPr>
              <w:adjustRightInd w:val="0"/>
              <w:snapToGrid w:val="0"/>
              <w:ind w:firstLine="602"/>
              <w:rPr>
                <w:sz w:val="30"/>
                <w:szCs w:val="30"/>
              </w:rPr>
            </w:pPr>
            <w:r>
              <w:rPr>
                <w:rFonts w:hint="eastAsia"/>
                <w:b/>
                <w:bCs/>
                <w:sz w:val="30"/>
                <w:szCs w:val="30"/>
              </w:rPr>
              <w:t>（二）实施居民收入提升行动。</w:t>
            </w:r>
            <w:r>
              <w:rPr>
                <w:rFonts w:hint="eastAsia"/>
                <w:sz w:val="30"/>
                <w:szCs w:val="30"/>
              </w:rPr>
              <w:t>建立人才入乡激励机制，引导高校毕业生、返乡创业人员、农业科研人员等各类人才下乡创业，每年新增创业主体不低于1.3万户。加大地方债柜台发行推广力度，规范发展居民理财产品，支持商业银行、保险公司和信托公司等在依法合规、风险可控的前提下，为居民提供更多、更安全的金融投资产品。</w:t>
            </w:r>
          </w:p>
          <w:p w14:paraId="734C779B">
            <w:pPr>
              <w:adjustRightInd w:val="0"/>
              <w:snapToGrid w:val="0"/>
              <w:ind w:firstLine="602"/>
              <w:rPr>
                <w:sz w:val="30"/>
                <w:szCs w:val="30"/>
              </w:rPr>
            </w:pPr>
            <w:r>
              <w:rPr>
                <w:rFonts w:hint="eastAsia"/>
                <w:b/>
                <w:bCs/>
                <w:sz w:val="30"/>
                <w:szCs w:val="30"/>
              </w:rPr>
              <w:t>（三）健全居民收入保障机制。</w:t>
            </w:r>
            <w:r>
              <w:rPr>
                <w:rFonts w:hint="eastAsia"/>
                <w:sz w:val="30"/>
                <w:szCs w:val="30"/>
              </w:rPr>
              <w:t>建立企业工资支付动态监测系统，对易拖欠行业实行“月排查、季通报”，打通欠薪维权线上线下渠道，推行工资支付全流程监管，联动保险机构提供意外险，优化收入结算与税务申报服务。打破部门数据壁垒，联通人社、住建、银行等平台数据，实现风险隐患提前预警。指导金融机构多样化开展金融知识普及教育活动，提升居民金融素养，加大防范和处置非法集资宣传力度，保障居民“钱袋子”安全。完善</w:t>
            </w:r>
            <w:r>
              <w:rPr>
                <w:rFonts w:cs="Times New Roman"/>
                <w:szCs w:val="32"/>
              </w:rPr>
              <w:t>劳动</w:t>
            </w:r>
            <w:r>
              <w:rPr>
                <w:rFonts w:hint="eastAsia"/>
                <w:sz w:val="30"/>
                <w:szCs w:val="30"/>
              </w:rPr>
              <w:t>人事争议调解仲裁机制，强化争议处理效能，劳动人事争议调解成功率达到65%以上，当期结案率达到95%以上。</w:t>
            </w:r>
          </w:p>
        </w:tc>
      </w:tr>
    </w:tbl>
    <w:p w14:paraId="2C045CAD">
      <w:pPr>
        <w:pStyle w:val="4"/>
        <w:spacing w:before="217" w:after="217"/>
        <w:rPr>
          <w:rFonts w:ascii="宋体" w:hAnsi="宋体"/>
        </w:rPr>
      </w:pPr>
      <w:bookmarkStart w:id="230" w:name="_Toc219068756"/>
      <w:r>
        <w:rPr>
          <w:rFonts w:hint="eastAsia" w:ascii="宋体" w:hAnsi="宋体"/>
        </w:rPr>
        <w:t>第二节 推进教育更高质量发展</w:t>
      </w:r>
      <w:bookmarkEnd w:id="229"/>
      <w:bookmarkEnd w:id="230"/>
    </w:p>
    <w:p w14:paraId="7A88DB37">
      <w:pPr>
        <w:ind w:firstLine="640"/>
        <w:contextualSpacing/>
        <w:rPr>
          <w:szCs w:val="32"/>
        </w:rPr>
      </w:pPr>
      <w:r>
        <w:rPr>
          <w:rFonts w:hint="eastAsia"/>
          <w:szCs w:val="32"/>
        </w:rPr>
        <w:t>推动联合办学、师资交流，加快推进重点项目建设，加强城乡学校交流，提升教育水平，推动职业教育提质扩容，完善终身学习体系，创建学习型城市。</w:t>
      </w:r>
    </w:p>
    <w:p w14:paraId="183D5FCC">
      <w:pPr>
        <w:ind w:firstLine="640"/>
        <w:contextualSpacing/>
        <w:rPr>
          <w:rFonts w:cs="Times New Roman"/>
          <w:szCs w:val="32"/>
        </w:rPr>
      </w:pPr>
      <w:r>
        <w:rPr>
          <w:rFonts w:hint="eastAsia" w:eastAsia="楷体" w:cs="楷体"/>
          <w:szCs w:val="32"/>
        </w:rPr>
        <w:t>提升基础教育发展水平。</w:t>
      </w:r>
      <w:r>
        <w:rPr>
          <w:rFonts w:hint="eastAsia"/>
          <w:szCs w:val="32"/>
        </w:rPr>
        <w:t>稳步扩大免费教育范围，依法依规延长义务教育年限。推动基础教育扩优提质，优化与学龄人口变化相协调的中小学和幼儿园布局，促进学前教育普及普惠，统筹推进“双减”和教育教学质量提升，推动义务教育优质均衡发展，推动特殊教育、专门教育公平融合发展。</w:t>
      </w:r>
      <w:r>
        <w:rPr>
          <w:rFonts w:hint="eastAsia"/>
          <w:b/>
          <w:bCs/>
          <w:szCs w:val="32"/>
        </w:rPr>
        <w:t>提升学前教育发展水平，</w:t>
      </w:r>
      <w:r>
        <w:rPr>
          <w:rFonts w:hint="eastAsia"/>
          <w:szCs w:val="32"/>
        </w:rPr>
        <w:t>健全学前教育管理体制，促进学前教育普惠优质发展，多渠道扩大公办幼儿园资源，引导规范普惠性民办幼儿园发展，满足常住适龄儿童入读普惠性幼儿园的需求。完善幼儿园保教质量标准和教研指导体系，提升学前教育办园质量。</w:t>
      </w:r>
      <w:r>
        <w:rPr>
          <w:rFonts w:hint="eastAsia"/>
          <w:b/>
          <w:bCs/>
          <w:szCs w:val="32"/>
        </w:rPr>
        <w:t>巩固教育发展成果，</w:t>
      </w:r>
      <w:r>
        <w:rPr>
          <w:rFonts w:hint="eastAsia"/>
          <w:szCs w:val="32"/>
        </w:rPr>
        <w:t>强化政府依法举办义务教育的主体责任，促进义务教育城乡一体化，引进优质教育资源，提升办学水平，提高学位保障能力。健全多元安置网络，提高残疾儿童少年义务教育入学率。</w:t>
      </w:r>
      <w:r>
        <w:rPr>
          <w:rFonts w:cs="Times New Roman"/>
          <w:szCs w:val="32"/>
        </w:rPr>
        <w:t>实施县域普通高中振兴计划，深化与</w:t>
      </w:r>
      <w:r>
        <w:rPr>
          <w:rFonts w:hint="eastAsia" w:cs="Times New Roman"/>
          <w:szCs w:val="32"/>
        </w:rPr>
        <w:t>天津</w:t>
      </w:r>
      <w:r>
        <w:rPr>
          <w:rFonts w:cs="Times New Roman"/>
          <w:szCs w:val="32"/>
        </w:rPr>
        <w:t>南开中学等优质名校合作</w:t>
      </w:r>
      <w:r>
        <w:rPr>
          <w:rFonts w:hint="eastAsia"/>
          <w:szCs w:val="32"/>
        </w:rPr>
        <w:t>，建成一批办学特色鲜明、育人质量突出的标杆学校，推动“品牌高中”“强校工程”取得标志性成果。“十五五”期间，新建1所公办完全中学，新增4200个学位；推动建设1所民办高中，新增1350个学位。</w:t>
      </w:r>
      <w:r>
        <w:rPr>
          <w:rFonts w:hint="eastAsia"/>
          <w:b/>
          <w:bCs/>
          <w:szCs w:val="32"/>
        </w:rPr>
        <w:t>推进民办教育持续发展，</w:t>
      </w:r>
      <w:r>
        <w:rPr>
          <w:rFonts w:cs="Times New Roman"/>
          <w:szCs w:val="32"/>
        </w:rPr>
        <w:t>引导民办</w:t>
      </w:r>
      <w:r>
        <w:rPr>
          <w:rFonts w:hint="eastAsia" w:cs="Times New Roman"/>
          <w:szCs w:val="32"/>
        </w:rPr>
        <w:t>学校健康</w:t>
      </w:r>
      <w:r>
        <w:rPr>
          <w:rFonts w:cs="Times New Roman"/>
          <w:szCs w:val="32"/>
        </w:rPr>
        <w:t>规范发展，鼓励社会力量兴办教育，</w:t>
      </w:r>
      <w:r>
        <w:rPr>
          <w:rFonts w:hint="eastAsia"/>
          <w:szCs w:val="32"/>
        </w:rPr>
        <w:t>加强对民办教育的支持和规范管理，提升其在京津冀教育协同发展中的竞争力，为区域注入新的活力。</w:t>
      </w:r>
      <w:r>
        <w:rPr>
          <w:rFonts w:hint="eastAsia"/>
          <w:b/>
          <w:bCs/>
          <w:szCs w:val="32"/>
        </w:rPr>
        <w:t>推进城乡教育均衡发展，</w:t>
      </w:r>
      <w:r>
        <w:rPr>
          <w:rFonts w:hint="eastAsia" w:cs="Times New Roman"/>
          <w:szCs w:val="32"/>
        </w:rPr>
        <w:t>扩大城镇学校学位供给，加强城乡学校交流学习，推动城乡幼儿园、中小学在课程建设、教学方法等方面互学互鉴。开展跨区域师资培训，通过名师送教、线上研修等方式提升乡村教师专业素养。建立教育资源共享机制，实现优质课件、教学设备、管理经验等高效流通。</w:t>
      </w:r>
    </w:p>
    <w:p w14:paraId="6BF925AE">
      <w:pPr>
        <w:ind w:firstLine="640"/>
        <w:contextualSpacing/>
        <w:rPr>
          <w:rFonts w:cs="Times New Roman"/>
          <w:szCs w:val="32"/>
        </w:rPr>
      </w:pPr>
      <w:r>
        <w:rPr>
          <w:rFonts w:hint="eastAsia" w:eastAsia="楷体" w:cs="楷体"/>
          <w:szCs w:val="32"/>
        </w:rPr>
        <w:t>打造职业教育新高地。</w:t>
      </w:r>
      <w:r>
        <w:rPr>
          <w:rFonts w:hint="eastAsia" w:cs="Times New Roman"/>
          <w:szCs w:val="32"/>
        </w:rPr>
        <w:t>创新育人模式、完善实训设施与专业体系，对接重点产业链，定向培养技能人才，实现人才供需精准对接。</w:t>
      </w:r>
      <w:r>
        <w:rPr>
          <w:rFonts w:hint="eastAsia" w:cs="Times New Roman"/>
          <w:b/>
          <w:szCs w:val="32"/>
        </w:rPr>
        <w:t>提升职业学校办学能力，</w:t>
      </w:r>
      <w:r>
        <w:rPr>
          <w:rFonts w:cs="Times New Roman"/>
          <w:szCs w:val="32"/>
        </w:rPr>
        <w:t>探索教、学、做一体的人才培养新模式</w:t>
      </w:r>
      <w:r>
        <w:rPr>
          <w:rFonts w:hint="eastAsia" w:cs="Times New Roman"/>
          <w:szCs w:val="32"/>
        </w:rPr>
        <w:t>，完善职业教育和技能培训体系，加强职普融合、产教融合，大力培养专业型、复合型人才。</w:t>
      </w:r>
      <w:r>
        <w:rPr>
          <w:rFonts w:cs="Times New Roman"/>
          <w:b/>
          <w:bCs/>
          <w:szCs w:val="32"/>
        </w:rPr>
        <w:t>加快推进</w:t>
      </w:r>
      <w:r>
        <w:rPr>
          <w:rFonts w:hint="eastAsia" w:cs="Times New Roman"/>
          <w:b/>
          <w:bCs/>
          <w:szCs w:val="32"/>
        </w:rPr>
        <w:t>职业学校</w:t>
      </w:r>
      <w:r>
        <w:rPr>
          <w:rFonts w:cs="Times New Roman"/>
          <w:b/>
          <w:bCs/>
          <w:szCs w:val="32"/>
        </w:rPr>
        <w:t>建设</w:t>
      </w:r>
      <w:r>
        <w:rPr>
          <w:rFonts w:hint="eastAsia" w:cs="Times New Roman"/>
          <w:b/>
          <w:bCs/>
          <w:szCs w:val="32"/>
        </w:rPr>
        <w:t>，</w:t>
      </w:r>
      <w:r>
        <w:rPr>
          <w:rFonts w:hint="eastAsia" w:cs="Times New Roman"/>
          <w:szCs w:val="32"/>
          <w:lang w:val="en-US" w:eastAsia="zh-CN"/>
        </w:rPr>
        <w:t>谋划建设一批特色院校</w:t>
      </w:r>
      <w:r>
        <w:rPr>
          <w:rFonts w:hint="eastAsia" w:cs="Times New Roman"/>
          <w:szCs w:val="32"/>
        </w:rPr>
        <w:t>，创新推行“职业教育+产业园区”融合发展模式，形成集基础教育、职业教育和高等教育于一体的教育示范园区。</w:t>
      </w:r>
      <w:bookmarkStart w:id="258" w:name="_GoBack"/>
      <w:bookmarkEnd w:id="258"/>
    </w:p>
    <w:p w14:paraId="3F5D7B55">
      <w:pPr>
        <w:ind w:firstLine="640"/>
        <w:contextualSpacing/>
        <w:rPr>
          <w:rFonts w:cs="Times New Roman"/>
          <w:szCs w:val="32"/>
        </w:rPr>
      </w:pPr>
      <w:r>
        <w:rPr>
          <w:rFonts w:hint="eastAsia" w:eastAsia="楷体" w:cs="楷体"/>
          <w:szCs w:val="32"/>
        </w:rPr>
        <w:t>推动学习型城市创建</w:t>
      </w:r>
      <w:r>
        <w:rPr>
          <w:rFonts w:hint="eastAsia" w:cs="Times New Roman"/>
          <w:szCs w:val="32"/>
        </w:rPr>
        <w:t>。实施新时代立德树人工程，聚焦全面发展与价值塑造，推动思政课改革创新，健全“五育融合”育人体系，促进学生全面发展。健全科学多元的教育评价体系，兼顾知识传授、能力培养与品德养成，筑牢青少年成长成才的思想根基。加强师德师风建设，弘扬教育家精神，升级“津门三杰”“三名”工作室建设，弘扬尊师重教社会风尚。健全学校家庭社会协同育人机制，促进学生德智体美劳全面发展。完善全民终身学习体系，深入实施教育数字化战略，完善全民终身学习公共服务，建设学习型城市，优化老年大学等社区公共教育办学平台功能，建立互联互通的终身学习数据库。</w:t>
      </w:r>
      <w:bookmarkStart w:id="231" w:name="_Toc212560113"/>
    </w:p>
    <w:p w14:paraId="21F42712">
      <w:pPr>
        <w:pStyle w:val="4"/>
        <w:spacing w:before="217" w:after="217"/>
        <w:rPr>
          <w:rFonts w:ascii="宋体" w:hAnsi="宋体"/>
        </w:rPr>
      </w:pPr>
      <w:bookmarkStart w:id="232" w:name="_Toc219068757"/>
      <w:r>
        <w:rPr>
          <w:rFonts w:hint="eastAsia" w:ascii="宋体" w:hAnsi="宋体"/>
        </w:rPr>
        <w:t>第三节 加强社会保障体系建设</w:t>
      </w:r>
      <w:bookmarkEnd w:id="231"/>
      <w:bookmarkEnd w:id="232"/>
    </w:p>
    <w:p w14:paraId="4A645579">
      <w:pPr>
        <w:ind w:firstLine="640"/>
        <w:contextualSpacing/>
        <w:rPr>
          <w:rFonts w:cs="Times New Roman"/>
          <w:szCs w:val="32"/>
          <w:lang w:val="en"/>
        </w:rPr>
      </w:pPr>
      <w:r>
        <w:rPr>
          <w:rFonts w:hint="eastAsia" w:cs="Times New Roman"/>
          <w:szCs w:val="32"/>
          <w:lang w:val="en"/>
        </w:rPr>
        <w:t>夯实基本生活救助，强化专项社会救助，降低家庭生育养育成本，完善生育</w:t>
      </w:r>
      <w:r>
        <w:rPr>
          <w:rFonts w:hint="eastAsia" w:cs="Times New Roman"/>
          <w:szCs w:val="32"/>
        </w:rPr>
        <w:t>及</w:t>
      </w:r>
      <w:r>
        <w:rPr>
          <w:rFonts w:hint="eastAsia" w:cs="Times New Roman"/>
          <w:szCs w:val="32"/>
          <w:lang w:val="en"/>
        </w:rPr>
        <w:t>养老保障，落实残疾人补贴制度，健全残障福利，提升救助服务水平。</w:t>
      </w:r>
    </w:p>
    <w:p w14:paraId="3E6D4576">
      <w:pPr>
        <w:ind w:firstLine="640"/>
        <w:contextualSpacing/>
        <w:rPr>
          <w:rFonts w:cs="Times New Roman"/>
          <w:kern w:val="28"/>
          <w:szCs w:val="32"/>
        </w:rPr>
      </w:pPr>
      <w:r>
        <w:rPr>
          <w:rFonts w:hint="eastAsia" w:eastAsia="楷体" w:cs="楷体"/>
          <w:szCs w:val="32"/>
        </w:rPr>
        <w:t>完善社会保障体系。</w:t>
      </w:r>
      <w:r>
        <w:rPr>
          <w:rFonts w:hint="eastAsia" w:cs="Times New Roman"/>
          <w:kern w:val="28"/>
          <w:szCs w:val="32"/>
        </w:rPr>
        <w:t>按照兜底线、织密网、建机制的要求，完善全覆盖、保基本、多层次、可持续的社会保障体系。</w:t>
      </w:r>
      <w:r>
        <w:rPr>
          <w:rFonts w:cs="Times New Roman"/>
          <w:szCs w:val="32"/>
        </w:rPr>
        <w:t>深入实施高质量参保行动，</w:t>
      </w:r>
      <w:r>
        <w:rPr>
          <w:rFonts w:hint="eastAsia" w:cs="Times New Roman"/>
          <w:kern w:val="28"/>
          <w:szCs w:val="32"/>
        </w:rPr>
        <w:t>巩固扩大</w:t>
      </w:r>
      <w:r>
        <w:rPr>
          <w:rFonts w:cs="Times New Roman"/>
          <w:szCs w:val="32"/>
        </w:rPr>
        <w:t>社会</w:t>
      </w:r>
      <w:r>
        <w:rPr>
          <w:rFonts w:hint="eastAsia" w:cs="Times New Roman"/>
          <w:kern w:val="28"/>
          <w:szCs w:val="32"/>
        </w:rPr>
        <w:t>保险覆盖面，</w:t>
      </w:r>
      <w:r>
        <w:rPr>
          <w:rFonts w:cs="Times New Roman"/>
          <w:szCs w:val="32"/>
        </w:rPr>
        <w:t>完善基本养老保险制度，发展多层次、多支柱养老保险体系。</w:t>
      </w:r>
      <w:r>
        <w:rPr>
          <w:rFonts w:hint="eastAsia" w:cs="Times New Roman"/>
          <w:kern w:val="28"/>
          <w:szCs w:val="32"/>
        </w:rPr>
        <w:t>稳妥有序推进渐进式延迟法定退休年龄改革。</w:t>
      </w:r>
      <w:r>
        <w:rPr>
          <w:rFonts w:cs="Times New Roman"/>
          <w:szCs w:val="32"/>
        </w:rPr>
        <w:t>健全医疗保险和医疗救助制度，户籍人口医疗保险参保率稳步提高，困难群体参保率达到100%，</w:t>
      </w:r>
      <w:r>
        <w:rPr>
          <w:rFonts w:hint="eastAsia" w:cs="Times New Roman"/>
          <w:kern w:val="28"/>
          <w:szCs w:val="32"/>
        </w:rPr>
        <w:t>积极发展商业医疗保险。完善工伤、失业保险制度。推进全民参保计划，健全灵活就业人员社保制度，</w:t>
      </w:r>
      <w:r>
        <w:rPr>
          <w:rFonts w:hint="eastAsia"/>
          <w:szCs w:val="32"/>
        </w:rPr>
        <w:t>“十五五”期间，</w:t>
      </w:r>
      <w:r>
        <w:rPr>
          <w:rFonts w:hint="eastAsia" w:cs="Times New Roman"/>
          <w:kern w:val="28"/>
          <w:szCs w:val="32"/>
        </w:rPr>
        <w:t>新增基本养老保险稳步提升，灵活就业人员参保率</w:t>
      </w:r>
      <w:r>
        <w:rPr>
          <w:rFonts w:cs="Times New Roman"/>
          <w:szCs w:val="32"/>
        </w:rPr>
        <w:t>逐步提高</w:t>
      </w:r>
      <w:r>
        <w:rPr>
          <w:rFonts w:hint="eastAsia" w:cs="Times New Roman"/>
          <w:kern w:val="28"/>
          <w:szCs w:val="32"/>
        </w:rPr>
        <w:t>。建立健全基本殡葬服务制度，推动区公益性骨灰堂等殡葬服务设施建设，加强殡仪事务中心运营管理。推进丧葬习俗改革，规范殡葬服务管理，加强殡葬用品市场和殡葬服务机构监管，全面推行“简约祭扫”，</w:t>
      </w:r>
      <w:r>
        <w:rPr>
          <w:rFonts w:cs="Times New Roman"/>
          <w:szCs w:val="32"/>
        </w:rPr>
        <w:t>弘扬</w:t>
      </w:r>
      <w:r>
        <w:rPr>
          <w:rFonts w:hint="eastAsia" w:cs="Times New Roman"/>
          <w:kern w:val="28"/>
          <w:szCs w:val="32"/>
        </w:rPr>
        <w:t>文明殡葬新风。贯彻退役军人保障法，全面加强退役军人保障体系建设，提升</w:t>
      </w:r>
      <w:r>
        <w:rPr>
          <w:rFonts w:cs="Times New Roman"/>
          <w:szCs w:val="32"/>
        </w:rPr>
        <w:t>退役军人服务保障</w:t>
      </w:r>
      <w:r>
        <w:rPr>
          <w:rFonts w:hint="eastAsia" w:cs="Times New Roman"/>
          <w:kern w:val="28"/>
          <w:szCs w:val="32"/>
        </w:rPr>
        <w:t>水平。</w:t>
      </w:r>
    </w:p>
    <w:p w14:paraId="0E9E040D">
      <w:pPr>
        <w:ind w:firstLine="640"/>
        <w:contextualSpacing/>
        <w:rPr>
          <w:rFonts w:cs="Times New Roman"/>
          <w:szCs w:val="32"/>
        </w:rPr>
      </w:pPr>
      <w:r>
        <w:rPr>
          <w:rFonts w:hint="eastAsia" w:eastAsia="楷体" w:cs="楷体"/>
          <w:szCs w:val="32"/>
        </w:rPr>
        <w:t>提高救助服务能力。</w:t>
      </w:r>
      <w:r>
        <w:rPr>
          <w:rFonts w:hint="eastAsia" w:cs="Times New Roman"/>
          <w:b/>
          <w:bCs/>
          <w:kern w:val="28"/>
          <w:szCs w:val="32"/>
        </w:rPr>
        <w:t>落实救助保障政策，</w:t>
      </w:r>
      <w:r>
        <w:rPr>
          <w:rFonts w:hint="eastAsia" w:cs="Times New Roman"/>
          <w:szCs w:val="32"/>
        </w:rPr>
        <w:t>规范最低生活保障制度，</w:t>
      </w:r>
      <w:r>
        <w:rPr>
          <w:rFonts w:hint="eastAsia" w:cs="Times New Roman"/>
          <w:kern w:val="28"/>
          <w:szCs w:val="32"/>
        </w:rPr>
        <w:t>全面落实城乡低保、农村特困供养、临时救助等民生保障政策，加强残疾人、孤儿社会福利制度和关爱服务体系建设，提高低收入和特殊困难群体生活保障。</w:t>
      </w:r>
      <w:r>
        <w:rPr>
          <w:rFonts w:hint="eastAsia" w:cs="Times New Roman"/>
          <w:szCs w:val="32"/>
        </w:rPr>
        <w:t>综合运用社会救助基金、专项资金、公益创投等手段，引导社会组织和专业社工面向困难群众开展个性化帮扶。</w:t>
      </w:r>
      <w:r>
        <w:rPr>
          <w:rFonts w:hint="eastAsia" w:cs="Times New Roman"/>
          <w:b/>
          <w:bCs/>
          <w:szCs w:val="32"/>
        </w:rPr>
        <w:t>推动救助管理工作转型升级，</w:t>
      </w:r>
      <w:r>
        <w:rPr>
          <w:rFonts w:hint="eastAsia" w:cs="Times New Roman"/>
          <w:szCs w:val="32"/>
        </w:rPr>
        <w:t>畅通特困人员救助供养、临时救助的网上申请及信息查询渠道。</w:t>
      </w:r>
      <w:r>
        <w:rPr>
          <w:rFonts w:hint="eastAsia" w:cs="Times New Roman"/>
          <w:kern w:val="28"/>
          <w:szCs w:val="32"/>
        </w:rPr>
        <w:t>新建救助管理站，提升流浪乞讨人员救助管理水平。</w:t>
      </w:r>
      <w:r>
        <w:rPr>
          <w:rFonts w:hint="eastAsia" w:cs="Times New Roman"/>
          <w:szCs w:val="32"/>
        </w:rPr>
        <w:t>提升基层社会救助能力，发挥区、街镇两级梯次衔接、覆盖全员的常态化培训机制作用，提高基层工作人员业务水平和职业素养。鼓励慈善力量、社会组织、社会工作者参与社会救助，实现政府主导的社会救助与社会力量救助有效衔接和优势互补。</w:t>
      </w:r>
    </w:p>
    <w:p w14:paraId="674EAA75">
      <w:pPr>
        <w:ind w:firstLine="640"/>
        <w:contextualSpacing/>
        <w:rPr>
          <w:rFonts w:cs="Times New Roman"/>
          <w:szCs w:val="32"/>
        </w:rPr>
      </w:pPr>
      <w:r>
        <w:rPr>
          <w:rFonts w:hint="eastAsia" w:eastAsia="楷体" w:cs="楷体"/>
          <w:szCs w:val="32"/>
        </w:rPr>
        <w:t>促进妇女儿童事业发展。</w:t>
      </w:r>
      <w:r>
        <w:rPr>
          <w:rFonts w:hint="eastAsia" w:cs="Times New Roman"/>
          <w:szCs w:val="32"/>
        </w:rPr>
        <w:t>贯彻落实男女平等基本国策和儿童优先原则，完善妇女儿童全面发展的制度机制</w:t>
      </w:r>
      <w:r>
        <w:rPr>
          <w:rFonts w:cs="Times New Roman"/>
          <w:szCs w:val="32"/>
        </w:rPr>
        <w:t>，保障妇女儿童合法权益，提高妇女参与决策和管理的水平，</w:t>
      </w:r>
      <w:r>
        <w:rPr>
          <w:rFonts w:hint="eastAsia" w:cs="Times New Roman"/>
          <w:szCs w:val="32"/>
        </w:rPr>
        <w:t>推动妇女享有更优质的全生命周期健康服务；全面提升儿童身体素质，加强儿童心理健康服务。</w:t>
      </w:r>
      <w:r>
        <w:rPr>
          <w:rFonts w:cs="Times New Roman"/>
          <w:b/>
          <w:bCs/>
          <w:kern w:val="28"/>
          <w:szCs w:val="32"/>
        </w:rPr>
        <w:t>降低家庭生育养育成本</w:t>
      </w:r>
      <w:r>
        <w:rPr>
          <w:rFonts w:hint="eastAsia" w:cs="Times New Roman"/>
          <w:b/>
          <w:bCs/>
          <w:kern w:val="28"/>
          <w:szCs w:val="32"/>
        </w:rPr>
        <w:t>，</w:t>
      </w:r>
      <w:r>
        <w:rPr>
          <w:rFonts w:cs="Times New Roman"/>
          <w:kern w:val="28"/>
          <w:szCs w:val="32"/>
        </w:rPr>
        <w:t>坚持改善民生、惠民利民，</w:t>
      </w:r>
      <w:r>
        <w:rPr>
          <w:rFonts w:cs="Times New Roman"/>
          <w:szCs w:val="32"/>
        </w:rPr>
        <w:t>优化生育支持政策体系和激励机制，严格落实生育补贴、生育休假、生育保险</w:t>
      </w:r>
      <w:r>
        <w:rPr>
          <w:rFonts w:hint="eastAsia" w:cs="Times New Roman"/>
          <w:szCs w:val="32"/>
        </w:rPr>
        <w:t>及育儿补贴</w:t>
      </w:r>
      <w:r>
        <w:rPr>
          <w:rFonts w:cs="Times New Roman"/>
          <w:szCs w:val="32"/>
        </w:rPr>
        <w:t>等制度，有效降低生育养育教育成本。</w:t>
      </w:r>
      <w:r>
        <w:rPr>
          <w:rFonts w:cs="Times New Roman"/>
          <w:b/>
          <w:bCs/>
          <w:szCs w:val="32"/>
        </w:rPr>
        <w:t>强化困境儿童保障</w:t>
      </w:r>
      <w:r>
        <w:rPr>
          <w:rFonts w:hint="eastAsia" w:cs="Times New Roman"/>
          <w:b/>
          <w:bCs/>
          <w:szCs w:val="32"/>
        </w:rPr>
        <w:t>，</w:t>
      </w:r>
      <w:r>
        <w:rPr>
          <w:rFonts w:cs="Times New Roman"/>
          <w:szCs w:val="32"/>
        </w:rPr>
        <w:t>提高孤儿、残疾儿童、事实无人抚养儿童基本生活补助标准，建立动态调整机制</w:t>
      </w:r>
      <w:r>
        <w:rPr>
          <w:rFonts w:hint="eastAsia" w:cs="Times New Roman"/>
          <w:szCs w:val="32"/>
        </w:rPr>
        <w:t>，</w:t>
      </w:r>
      <w:r>
        <w:rPr>
          <w:rFonts w:cs="Times New Roman"/>
          <w:szCs w:val="32"/>
        </w:rPr>
        <w:t>整合民政、教育、医疗</w:t>
      </w:r>
      <w:r>
        <w:rPr>
          <w:rFonts w:hint="eastAsia" w:cs="Times New Roman"/>
          <w:szCs w:val="32"/>
        </w:rPr>
        <w:t>等</w:t>
      </w:r>
      <w:r>
        <w:rPr>
          <w:rFonts w:cs="Times New Roman"/>
          <w:szCs w:val="32"/>
        </w:rPr>
        <w:t>资源，为困境儿童提供教育资助及心理关爱服务。</w:t>
      </w:r>
      <w:r>
        <w:rPr>
          <w:rFonts w:hint="eastAsia" w:cs="Times New Roman"/>
          <w:b/>
          <w:bCs/>
          <w:szCs w:val="32"/>
        </w:rPr>
        <w:t>拓宽普惠托育</w:t>
      </w:r>
      <w:r>
        <w:rPr>
          <w:rFonts w:cs="Times New Roman"/>
          <w:b/>
          <w:bCs/>
          <w:szCs w:val="32"/>
        </w:rPr>
        <w:t>服务供给</w:t>
      </w:r>
      <w:r>
        <w:rPr>
          <w:rFonts w:hint="eastAsia" w:cs="Times New Roman"/>
          <w:b/>
          <w:bCs/>
          <w:szCs w:val="32"/>
        </w:rPr>
        <w:t>，</w:t>
      </w:r>
      <w:r>
        <w:rPr>
          <w:rFonts w:hint="eastAsia" w:cs="Times New Roman"/>
          <w:kern w:val="28"/>
          <w:szCs w:val="32"/>
        </w:rPr>
        <w:t>加快完善普惠托育服务体系，</w:t>
      </w:r>
      <w:r>
        <w:rPr>
          <w:rFonts w:cs="Times New Roman"/>
          <w:szCs w:val="32"/>
        </w:rPr>
        <w:t>扩大优质</w:t>
      </w:r>
      <w:r>
        <w:rPr>
          <w:rFonts w:hint="eastAsia" w:cs="Times New Roman"/>
          <w:szCs w:val="32"/>
        </w:rPr>
        <w:t>普惠托育</w:t>
      </w:r>
      <w:r>
        <w:rPr>
          <w:rFonts w:cs="Times New Roman"/>
          <w:szCs w:val="32"/>
        </w:rPr>
        <w:t>资源覆盖面，降低家庭托育成本，切实让政策红利惠及更多家庭。</w:t>
      </w:r>
    </w:p>
    <w:p w14:paraId="51FF0E30">
      <w:pPr>
        <w:widowControl/>
        <w:ind w:firstLine="640"/>
        <w:rPr>
          <w:rFonts w:cs="Times New Roman"/>
          <w:szCs w:val="32"/>
        </w:rPr>
      </w:pPr>
      <w:r>
        <w:rPr>
          <w:rFonts w:hint="eastAsia" w:eastAsia="楷体" w:cs="楷体"/>
          <w:szCs w:val="32"/>
        </w:rPr>
        <w:t>提升养老服务水平。</w:t>
      </w:r>
      <w:r>
        <w:rPr>
          <w:rFonts w:hint="eastAsia" w:cs="Times New Roman"/>
          <w:szCs w:val="32"/>
        </w:rPr>
        <w:t>推进老年友好型社区建设，构建智慧化养老服务体系，健全保险保障与津贴发放机制，实现养老服务高质量发展。</w:t>
      </w:r>
      <w:r>
        <w:rPr>
          <w:rFonts w:hint="eastAsia" w:cs="Times New Roman"/>
          <w:b/>
          <w:szCs w:val="32"/>
        </w:rPr>
        <w:t>优化</w:t>
      </w:r>
      <w:r>
        <w:rPr>
          <w:rFonts w:cs="Times New Roman"/>
          <w:b/>
          <w:bCs/>
          <w:szCs w:val="32"/>
        </w:rPr>
        <w:t>养老</w:t>
      </w:r>
      <w:r>
        <w:rPr>
          <w:rFonts w:hint="eastAsia" w:cs="Times New Roman"/>
          <w:b/>
          <w:bCs/>
          <w:szCs w:val="32"/>
        </w:rPr>
        <w:t>服务体系，</w:t>
      </w:r>
      <w:r>
        <w:rPr>
          <w:rFonts w:hint="eastAsia" w:cs="Times New Roman"/>
          <w:bCs/>
          <w:szCs w:val="32"/>
        </w:rPr>
        <w:t>打造</w:t>
      </w:r>
      <w:r>
        <w:rPr>
          <w:rFonts w:hint="eastAsia" w:cs="Times New Roman"/>
          <w:szCs w:val="32"/>
        </w:rPr>
        <w:t>居家为基础、社区为依托、机构为补充、医养相结合的养老服务体系。探索建立老年友好型社区，</w:t>
      </w:r>
      <w:r>
        <w:rPr>
          <w:rFonts w:cs="Times New Roman"/>
          <w:szCs w:val="32"/>
        </w:rPr>
        <w:t>持续推进</w:t>
      </w:r>
      <w:r>
        <w:rPr>
          <w:rFonts w:hint="eastAsia" w:cs="Times New Roman"/>
          <w:szCs w:val="32"/>
        </w:rPr>
        <w:t>“</w:t>
      </w:r>
      <w:r>
        <w:rPr>
          <w:rFonts w:cs="Times New Roman"/>
          <w:szCs w:val="32"/>
        </w:rPr>
        <w:t>四动</w:t>
      </w:r>
      <w:r>
        <w:rPr>
          <w:rFonts w:hint="eastAsia" w:cs="Times New Roman"/>
          <w:szCs w:val="32"/>
        </w:rPr>
        <w:t>”</w:t>
      </w:r>
      <w:r>
        <w:rPr>
          <w:rFonts w:cs="Times New Roman"/>
          <w:szCs w:val="32"/>
        </w:rPr>
        <w:t>养老工作模式</w:t>
      </w:r>
      <w:r>
        <w:rPr>
          <w:rFonts w:hint="eastAsia" w:cs="Times New Roman"/>
          <w:szCs w:val="32"/>
        </w:rPr>
        <w:t>，确保老年人获得均衡、共享、优质的养老服务，优化基本养老服务体系，深化全国县域养老服务体系创新试点项目建设，擦亮“京畿养老宝地”品牌，</w:t>
      </w:r>
      <w:r>
        <w:rPr>
          <w:rFonts w:cs="Times New Roman"/>
          <w:szCs w:val="32"/>
        </w:rPr>
        <w:t>着力实现养老工作高质量发展</w:t>
      </w:r>
      <w:r>
        <w:rPr>
          <w:rFonts w:hint="eastAsia" w:cs="Times New Roman"/>
          <w:szCs w:val="32"/>
        </w:rPr>
        <w:t>。</w:t>
      </w:r>
      <w:r>
        <w:rPr>
          <w:rFonts w:hint="eastAsia" w:cs="Times New Roman"/>
          <w:b/>
          <w:szCs w:val="32"/>
        </w:rPr>
        <w:t>完善</w:t>
      </w:r>
      <w:r>
        <w:rPr>
          <w:rFonts w:cs="Times New Roman"/>
          <w:b/>
          <w:bCs/>
          <w:szCs w:val="32"/>
        </w:rPr>
        <w:t>基本养老服务</w:t>
      </w:r>
      <w:r>
        <w:rPr>
          <w:rFonts w:hint="eastAsia" w:cs="Times New Roman"/>
          <w:b/>
          <w:bCs/>
          <w:szCs w:val="32"/>
        </w:rPr>
        <w:t>机构建设，</w:t>
      </w:r>
      <w:r>
        <w:rPr>
          <w:rFonts w:cs="Times New Roman"/>
          <w:szCs w:val="32"/>
        </w:rPr>
        <w:t>实施老年友好型社区建设工程，提升社区服务能力和水平，</w:t>
      </w:r>
      <w:r>
        <w:rPr>
          <w:rFonts w:hint="eastAsia" w:cs="Times New Roman"/>
          <w:szCs w:val="32"/>
        </w:rPr>
        <w:t>更好地满足老年人在居住环境、日常出行、健康服务、养老服务、社会参与、精神文化生活等方面的需要。</w:t>
      </w:r>
      <w:r>
        <w:rPr>
          <w:rFonts w:hint="eastAsia" w:cs="Times New Roman"/>
          <w:b/>
          <w:szCs w:val="32"/>
        </w:rPr>
        <w:t>强化</w:t>
      </w:r>
      <w:r>
        <w:rPr>
          <w:rFonts w:hint="eastAsia" w:cs="Times New Roman"/>
          <w:b/>
          <w:bCs/>
          <w:szCs w:val="32"/>
        </w:rPr>
        <w:t>多类型</w:t>
      </w:r>
      <w:r>
        <w:rPr>
          <w:rFonts w:cs="Times New Roman"/>
          <w:b/>
          <w:bCs/>
          <w:szCs w:val="32"/>
        </w:rPr>
        <w:t>养老服务保障</w:t>
      </w:r>
      <w:r>
        <w:rPr>
          <w:rFonts w:hint="eastAsia" w:cs="Times New Roman"/>
          <w:b/>
          <w:bCs/>
          <w:szCs w:val="32"/>
        </w:rPr>
        <w:t>，</w:t>
      </w:r>
      <w:r>
        <w:rPr>
          <w:rFonts w:cs="Times New Roman"/>
          <w:szCs w:val="32"/>
        </w:rPr>
        <w:t>发展多类型、多保障保险，满足老年人多样化</w:t>
      </w:r>
      <w:r>
        <w:rPr>
          <w:rFonts w:hint="eastAsia" w:cs="Times New Roman"/>
          <w:szCs w:val="32"/>
        </w:rPr>
        <w:t>需求，着力推进建设区级智慧化养老服务体系，推进机构、社区、居家服务等相关信息互联互通，持续做好困难老年人补贴和高龄津贴资金发放，夯实居家养老基础。</w:t>
      </w:r>
    </w:p>
    <w:p w14:paraId="3D69A09E">
      <w:pPr>
        <w:widowControl/>
        <w:ind w:firstLine="640"/>
        <w:rPr>
          <w:rFonts w:cs="Times New Roman"/>
          <w:szCs w:val="32"/>
        </w:rPr>
      </w:pPr>
      <w:r>
        <w:rPr>
          <w:rFonts w:hint="eastAsia" w:eastAsia="楷体" w:cs="楷体"/>
          <w:szCs w:val="32"/>
        </w:rPr>
        <w:t>夯实安居惠民基础。</w:t>
      </w:r>
      <w:r>
        <w:rPr>
          <w:rFonts w:hint="eastAsia" w:cs="Times New Roman"/>
          <w:szCs w:val="32"/>
        </w:rPr>
        <w:t>精准实施住房保障，满足刚性住房需求。健全多主体供给、多渠道保障、租购并举的住房制度，促进空间适配与资源均衡，推动房地产市场平稳健康发展。</w:t>
      </w:r>
      <w:r>
        <w:rPr>
          <w:rFonts w:hint="eastAsia" w:cs="Times New Roman"/>
          <w:b/>
          <w:bCs/>
          <w:szCs w:val="32"/>
        </w:rPr>
        <w:t>健全完善住房保障体系，</w:t>
      </w:r>
      <w:r>
        <w:rPr>
          <w:rFonts w:hint="eastAsia" w:cs="Times New Roman"/>
          <w:szCs w:val="32"/>
        </w:rPr>
        <w:t>优化住房供应结构，促进空间适配与资源均衡，推动房地产市场平稳健康发展。多渠道保障城镇工薪群体和各类困难家庭基本住房需求，推进实物配租与租赁补贴并举，健全保障对象轮候机制，稳妥推进配售型保障性住房，精准对接保障群体住房需求和申购意愿。</w:t>
      </w:r>
      <w:r>
        <w:rPr>
          <w:rFonts w:hint="eastAsia" w:cs="Times New Roman"/>
          <w:b/>
          <w:bCs/>
          <w:szCs w:val="32"/>
        </w:rPr>
        <w:t>满足多样化改善性住房需求，</w:t>
      </w:r>
      <w:r>
        <w:rPr>
          <w:rFonts w:hint="eastAsia" w:cs="Times New Roman"/>
          <w:szCs w:val="32"/>
        </w:rPr>
        <w:t>加快高品质住房建设，科学统筹规划布局，合理控制开发强度，优化户型功能布局，构建覆盖住房设计、建造、运维、更新的全生命周期标准体系，探索打造通勤便利、生态宜居的城市新型高品质居住社区。</w:t>
      </w:r>
    </w:p>
    <w:p w14:paraId="497C4DDE">
      <w:pPr>
        <w:pStyle w:val="4"/>
        <w:spacing w:before="217" w:after="217"/>
        <w:rPr>
          <w:rFonts w:ascii="宋体" w:hAnsi="宋体"/>
        </w:rPr>
      </w:pPr>
      <w:bookmarkStart w:id="233" w:name="_Toc219068758"/>
      <w:bookmarkStart w:id="234" w:name="_Toc212560112"/>
      <w:r>
        <w:rPr>
          <w:rFonts w:hint="eastAsia" w:ascii="宋体" w:hAnsi="宋体"/>
        </w:rPr>
        <w:t>第四节 提升医疗健康服务能级</w:t>
      </w:r>
      <w:bookmarkEnd w:id="233"/>
      <w:bookmarkEnd w:id="234"/>
    </w:p>
    <w:p w14:paraId="3852E2B6">
      <w:pPr>
        <w:ind w:firstLine="640"/>
        <w:contextualSpacing/>
        <w:rPr>
          <w:rFonts w:cs="Times New Roman"/>
          <w:szCs w:val="32"/>
        </w:rPr>
      </w:pPr>
      <w:r>
        <w:rPr>
          <w:rFonts w:hint="eastAsia" w:cs="Times New Roman"/>
          <w:szCs w:val="32"/>
        </w:rPr>
        <w:t>优化医疗布局，推动资源下沉，实施“健康宝坻”行动，完善基层公共卫生体系，创新医防协同机制，构建全生命周期健康管理体系，推动中医传承创新，推进体育强区建设。</w:t>
      </w:r>
    </w:p>
    <w:p w14:paraId="2C4508C2">
      <w:pPr>
        <w:ind w:firstLine="640"/>
        <w:contextualSpacing/>
        <w:rPr>
          <w:rFonts w:cs="Times New Roman"/>
          <w:szCs w:val="32"/>
        </w:rPr>
      </w:pPr>
      <w:r>
        <w:rPr>
          <w:rFonts w:hint="eastAsia" w:eastAsia="楷体" w:cs="楷体"/>
          <w:szCs w:val="32"/>
        </w:rPr>
        <w:t>提升医疗卫生水平。</w:t>
      </w:r>
      <w:r>
        <w:rPr>
          <w:rFonts w:hint="eastAsia" w:cs="Times New Roman"/>
          <w:szCs w:val="32"/>
        </w:rPr>
        <w:t>实施健康优先发展战略，巩固国家卫生区创建成果，强化公共卫生防护能力，改革和完善疾病预防控制体系，为人民群众提供全方位全周期健康服务。推动医疗基础设施高质量发展，加快实施医疗卫生强基工程，健全基层医疗卫生服务体系，推动优质医疗资源均衡布局，推进京津新城二级医院建设，持续开展“优质服务基层行”和社区医院创建工作，建设社区特色门诊，推进镇村卫生服务一体化管理，强化村卫生室标准化建设，优化医疗卫生区域布局。深化医药卫生体制改革，推进紧密型区域医共体建设，强化区域内医疗机构互联互助和健康帮扶。深化“三医”联动改革，支持“互联网+医疗健康”新服务模式发展，推广远程医疗。提高诊疗服务能力，积极开展医学教育和科技创新研究。巩固地方病与寄生虫病消除成果，强化流行株动态监测与入境口岸检疫，阻断境外输入传播风险。构建“多点触发、智能高效”的现代化疾控体系，升级多渠道监测预警网络，实现新发传染病早期识别与快速响应。落实异地就医直接结算等政策。持续深化家庭医生签约服务，</w:t>
      </w:r>
      <w:r>
        <w:rPr>
          <w:rFonts w:hint="eastAsia" w:cs="Times New Roman"/>
          <w:szCs w:val="32"/>
          <w:lang w:val="en"/>
        </w:rPr>
        <w:t>丰富服务内容，提供针对性健康教育和健康管理服务。</w:t>
      </w:r>
      <w:r>
        <w:rPr>
          <w:rFonts w:hint="eastAsia" w:cs="Times New Roman"/>
          <w:szCs w:val="32"/>
        </w:rPr>
        <w:t>加强医疗卫生队伍能力和作风建设。</w:t>
      </w:r>
    </w:p>
    <w:p w14:paraId="0454F679">
      <w:pPr>
        <w:widowControl/>
        <w:ind w:firstLine="640"/>
        <w:rPr>
          <w:rFonts w:cs="Times New Roman"/>
          <w:szCs w:val="32"/>
          <w:lang w:val="en"/>
        </w:rPr>
      </w:pPr>
      <w:r>
        <w:rPr>
          <w:rFonts w:hint="eastAsia" w:eastAsia="楷体" w:cs="楷体"/>
          <w:szCs w:val="32"/>
        </w:rPr>
        <w:t>完善中医药服务体系。</w:t>
      </w:r>
      <w:r>
        <w:rPr>
          <w:rFonts w:hint="eastAsia" w:cs="Times New Roman"/>
          <w:szCs w:val="32"/>
        </w:rPr>
        <w:t>推进市级重点专科与医联体建设，提升基层中医药及康复服务能力，促进传承创新发展。</w:t>
      </w:r>
      <w:r>
        <w:rPr>
          <w:rFonts w:hint="eastAsia" w:cs="Times New Roman"/>
          <w:b/>
          <w:bCs/>
          <w:szCs w:val="32"/>
        </w:rPr>
        <w:t>加强</w:t>
      </w:r>
      <w:r>
        <w:rPr>
          <w:rFonts w:hint="eastAsia" w:cs="Times New Roman"/>
          <w:b/>
          <w:bCs/>
          <w:szCs w:val="32"/>
          <w:lang w:val="en"/>
        </w:rPr>
        <w:t>中医药服务体系</w:t>
      </w:r>
      <w:r>
        <w:rPr>
          <w:rFonts w:hint="eastAsia" w:cs="Times New Roman"/>
          <w:b/>
          <w:bCs/>
          <w:szCs w:val="32"/>
        </w:rPr>
        <w:t>建设</w:t>
      </w:r>
      <w:r>
        <w:rPr>
          <w:rFonts w:hint="eastAsia" w:cs="Times New Roman"/>
          <w:b/>
          <w:bCs/>
          <w:szCs w:val="32"/>
          <w:lang w:val="en"/>
        </w:rPr>
        <w:t>，</w:t>
      </w:r>
      <w:r>
        <w:rPr>
          <w:rFonts w:hint="eastAsia" w:cs="Times New Roman"/>
          <w:szCs w:val="32"/>
          <w:lang w:val="en"/>
        </w:rPr>
        <w:t>加大对重点专科建设和发展的支持力度，推进肺病、脑病、肛肠科等重点专科</w:t>
      </w:r>
      <w:r>
        <w:rPr>
          <w:rFonts w:hint="eastAsia" w:cs="Times New Roman"/>
          <w:szCs w:val="32"/>
        </w:rPr>
        <w:t>建设</w:t>
      </w:r>
      <w:r>
        <w:rPr>
          <w:rFonts w:hint="eastAsia" w:cs="Times New Roman"/>
          <w:szCs w:val="32"/>
          <w:lang w:val="en"/>
        </w:rPr>
        <w:t>，</w:t>
      </w:r>
      <w:r>
        <w:rPr>
          <w:rFonts w:hint="eastAsia" w:cs="Times New Roman"/>
          <w:szCs w:val="32"/>
        </w:rPr>
        <w:t>推动中医药传承创新发展</w:t>
      </w:r>
      <w:r>
        <w:rPr>
          <w:rFonts w:hint="eastAsia" w:cs="Times New Roman"/>
          <w:szCs w:val="32"/>
          <w:lang w:val="en"/>
        </w:rPr>
        <w:t>，</w:t>
      </w:r>
      <w:r>
        <w:rPr>
          <w:rFonts w:hint="eastAsia" w:cs="Times New Roman"/>
          <w:szCs w:val="32"/>
        </w:rPr>
        <w:t>完成</w:t>
      </w:r>
      <w:r>
        <w:rPr>
          <w:rFonts w:cs="Times New Roman"/>
          <w:szCs w:val="32"/>
        </w:rPr>
        <w:t>5</w:t>
      </w:r>
      <w:r>
        <w:rPr>
          <w:rFonts w:hint="eastAsia" w:cs="Times New Roman"/>
          <w:szCs w:val="32"/>
        </w:rPr>
        <w:t>个市级中医重点专科建设。</w:t>
      </w:r>
      <w:r>
        <w:rPr>
          <w:rFonts w:hint="eastAsia" w:cs="Times New Roman"/>
          <w:b/>
          <w:bCs/>
          <w:szCs w:val="32"/>
        </w:rPr>
        <w:t>优化中医卫生机构布局，</w:t>
      </w:r>
      <w:r>
        <w:rPr>
          <w:rFonts w:hint="eastAsia" w:cs="Times New Roman"/>
          <w:szCs w:val="32"/>
          <w:lang w:val="en"/>
        </w:rPr>
        <w:t>坚持中西医结合和优势互补，建设临床教学医院，完善中医医疗服务体系</w:t>
      </w:r>
      <w:r>
        <w:rPr>
          <w:rFonts w:hint="eastAsia" w:cs="Times New Roman"/>
          <w:szCs w:val="32"/>
        </w:rPr>
        <w:t>，推动优质医疗资源下沉，加强医联体建设，</w:t>
      </w:r>
      <w:r>
        <w:rPr>
          <w:rFonts w:hint="eastAsia" w:cs="Times New Roman"/>
          <w:szCs w:val="32"/>
          <w:lang w:val="en"/>
        </w:rPr>
        <w:t>推进区级中医治未病健康工程，优化中医治未病服务供给，拓展治未病服务至医院临床科室，融入疾病诊疗全过程。</w:t>
      </w:r>
      <w:r>
        <w:rPr>
          <w:rFonts w:hint="eastAsia" w:cs="Times New Roman"/>
          <w:b/>
          <w:bCs/>
          <w:szCs w:val="32"/>
          <w:lang w:val="en"/>
        </w:rPr>
        <w:t>强化中医应急与基层服务，</w:t>
      </w:r>
      <w:r>
        <w:rPr>
          <w:rFonts w:hint="eastAsia" w:cs="Times New Roman"/>
          <w:szCs w:val="32"/>
          <w:lang w:val="en"/>
        </w:rPr>
        <w:t>组建区级中西医疫病防治和中医应急救援队，做好应对重大疫情防控的人才队伍储备。制定应急预案，强化应急演练，加强中医应急救援物资准备，提高中西医应急救治能力。</w:t>
      </w:r>
    </w:p>
    <w:p w14:paraId="442FAD30">
      <w:pPr>
        <w:ind w:firstLine="640"/>
        <w:contextualSpacing/>
        <w:rPr>
          <w:rFonts w:cs="Times New Roman"/>
          <w:szCs w:val="32"/>
        </w:rPr>
      </w:pPr>
      <w:r>
        <w:rPr>
          <w:rFonts w:hint="eastAsia" w:eastAsia="楷体" w:cs="楷体"/>
          <w:szCs w:val="32"/>
        </w:rPr>
        <w:t>实施“健康宝坻”行动。</w:t>
      </w:r>
      <w:r>
        <w:rPr>
          <w:rFonts w:hint="eastAsia" w:cs="Times New Roman"/>
          <w:szCs w:val="32"/>
        </w:rPr>
        <w:t>聚焦健康环境、社会与人群建设，实施营养膳食行动，倡导健康生活方式，推进慢性病、</w:t>
      </w:r>
      <w:r>
        <w:rPr>
          <w:rFonts w:cs="Times New Roman"/>
          <w:szCs w:val="32"/>
        </w:rPr>
        <w:t>地方病、</w:t>
      </w:r>
      <w:r>
        <w:rPr>
          <w:rFonts w:hint="eastAsia" w:cs="Times New Roman"/>
          <w:szCs w:val="32"/>
        </w:rPr>
        <w:t>职业病等防治及心理服务，强化健康教育干预，提升居民健康素养。</w:t>
      </w:r>
      <w:r>
        <w:rPr>
          <w:rFonts w:cs="Times New Roman"/>
          <w:b/>
          <w:bCs/>
          <w:szCs w:val="32"/>
        </w:rPr>
        <w:t>打造主动健康服务支撑体系</w:t>
      </w:r>
      <w:r>
        <w:rPr>
          <w:rFonts w:hint="eastAsia" w:cs="Times New Roman"/>
          <w:b/>
          <w:bCs/>
          <w:szCs w:val="32"/>
        </w:rPr>
        <w:t>，</w:t>
      </w:r>
      <w:r>
        <w:rPr>
          <w:rFonts w:cs="Times New Roman"/>
          <w:szCs w:val="32"/>
        </w:rPr>
        <w:t>积极导入主动健康理念，</w:t>
      </w:r>
      <w:r>
        <w:rPr>
          <w:rFonts w:hint="eastAsia" w:cs="Times New Roman"/>
          <w:szCs w:val="32"/>
        </w:rPr>
        <w:t>围绕营造健康环境、构建健康社会、培养健康人群等工作重点，深入实施国民营养计划与合理膳食行动，</w:t>
      </w:r>
      <w:r>
        <w:rPr>
          <w:rFonts w:cs="Times New Roman"/>
          <w:szCs w:val="32"/>
        </w:rPr>
        <w:t>倡导健康饮食、健康运动、健康生活</w:t>
      </w:r>
      <w:r>
        <w:rPr>
          <w:rFonts w:hint="eastAsia" w:cs="Times New Roman"/>
          <w:szCs w:val="32"/>
        </w:rPr>
        <w:t>等</w:t>
      </w:r>
      <w:r>
        <w:rPr>
          <w:rFonts w:cs="Times New Roman"/>
          <w:szCs w:val="32"/>
        </w:rPr>
        <w:t>方式，构建全生命周期的健康管理体系。</w:t>
      </w:r>
      <w:r>
        <w:rPr>
          <w:rFonts w:cs="Times New Roman"/>
          <w:b/>
          <w:bCs/>
          <w:szCs w:val="32"/>
        </w:rPr>
        <w:t>筑牢全方位健康防线</w:t>
      </w:r>
      <w:r>
        <w:rPr>
          <w:rFonts w:hint="eastAsia" w:cs="Times New Roman"/>
          <w:b/>
          <w:bCs/>
          <w:szCs w:val="32"/>
        </w:rPr>
        <w:t>，</w:t>
      </w:r>
      <w:r>
        <w:rPr>
          <w:rFonts w:hint="eastAsia" w:cs="Times New Roman"/>
          <w:szCs w:val="32"/>
        </w:rPr>
        <w:t>加强慢性病综合防控，重视精神卫生和心理健康，发展防治康管全链条服务。不断丰富健康促进工作内涵，加强健康教育、健康干预，持续提升居民身体素质和健康素养水平。</w:t>
      </w:r>
    </w:p>
    <w:p w14:paraId="7507D511">
      <w:pPr>
        <w:ind w:firstLine="640"/>
        <w:rPr>
          <w:rFonts w:cs="仿宋_GB2312"/>
          <w:color w:val="000000" w:themeColor="text1"/>
          <w:szCs w:val="32"/>
          <w14:textFill>
            <w14:solidFill>
              <w14:schemeClr w14:val="tx1"/>
            </w14:solidFill>
          </w14:textFill>
        </w:rPr>
      </w:pPr>
      <w:r>
        <w:rPr>
          <w:rFonts w:hint="eastAsia" w:eastAsia="楷体" w:cs="楷体"/>
          <w:szCs w:val="32"/>
        </w:rPr>
        <w:t>推动体育强区建设。</w:t>
      </w:r>
      <w:r>
        <w:rPr>
          <w:rFonts w:hint="eastAsia"/>
        </w:rPr>
        <w:t>全面落实全民健身国家战略，营造全民健身良好氛围。</w:t>
      </w:r>
      <w:r>
        <w:rPr>
          <w:rFonts w:hint="eastAsia"/>
          <w:szCs w:val="32"/>
        </w:rPr>
        <w:t>稳步推进印象潮白体育综合体项目建设，打造集全民健身、赛事承接、商业娱乐、康养休闲于一体的大型综合性体育设施和</w:t>
      </w:r>
      <w:r>
        <w:rPr>
          <w:rFonts w:hint="eastAsia"/>
        </w:rPr>
        <w:t>特色旅游项目。</w:t>
      </w:r>
      <w:r>
        <w:rPr>
          <w:rFonts w:hint="eastAsia" w:cs="仿宋_GB2312"/>
          <w:color w:val="000000" w:themeColor="text1"/>
          <w:szCs w:val="32"/>
          <w14:textFill>
            <w14:solidFill>
              <w14:schemeClr w14:val="tx1"/>
            </w14:solidFill>
          </w14:textFill>
        </w:rPr>
        <w:t>更新和新建全民健身设施，不断满足群众多元化健身需求。</w:t>
      </w:r>
      <w:bookmarkStart w:id="235" w:name="_Toc27305"/>
      <w:bookmarkEnd w:id="235"/>
      <w:bookmarkStart w:id="236" w:name="_Toc5370"/>
      <w:bookmarkEnd w:id="236"/>
      <w:bookmarkStart w:id="237" w:name="_Toc24690"/>
      <w:bookmarkEnd w:id="237"/>
      <w:r>
        <w:rPr>
          <w:rFonts w:cs="仿宋_GB2312"/>
          <w:color w:val="000000" w:themeColor="text1"/>
          <w:szCs w:val="32"/>
          <w14:textFill>
            <w14:solidFill>
              <w14:schemeClr w14:val="tx1"/>
            </w14:solidFill>
          </w14:textFill>
        </w:rPr>
        <w:t>抓好后备人才培养</w:t>
      </w:r>
      <w:r>
        <w:rPr>
          <w:rFonts w:hint="eastAsia" w:cs="仿宋_GB2312"/>
          <w:color w:val="000000" w:themeColor="text1"/>
          <w:szCs w:val="32"/>
          <w14:textFill>
            <w14:solidFill>
              <w14:schemeClr w14:val="tx1"/>
            </w14:solidFill>
          </w14:textFill>
        </w:rPr>
        <w:t>，</w:t>
      </w:r>
      <w:r>
        <w:rPr>
          <w:rFonts w:cs="仿宋_GB2312"/>
          <w:color w:val="000000" w:themeColor="text1"/>
          <w:szCs w:val="32"/>
          <w14:textFill>
            <w14:solidFill>
              <w14:schemeClr w14:val="tx1"/>
            </w14:solidFill>
          </w14:textFill>
        </w:rPr>
        <w:t>加强学校体育建设和体育人才基地建设，推动竞技体育发展</w:t>
      </w:r>
      <w:r>
        <w:rPr>
          <w:rFonts w:hint="eastAsia" w:cs="仿宋_GB2312"/>
          <w:color w:val="000000" w:themeColor="text1"/>
          <w:szCs w:val="32"/>
          <w14:textFill>
            <w14:solidFill>
              <w14:schemeClr w14:val="tx1"/>
            </w14:solidFill>
          </w14:textFill>
        </w:rPr>
        <w:t>，</w:t>
      </w:r>
      <w:r>
        <w:rPr>
          <w:rFonts w:cs="仿宋_GB2312"/>
          <w:color w:val="000000" w:themeColor="text1"/>
          <w:szCs w:val="32"/>
          <w14:textFill>
            <w14:solidFill>
              <w14:schemeClr w14:val="tx1"/>
            </w14:solidFill>
          </w14:textFill>
        </w:rPr>
        <w:t>为</w:t>
      </w:r>
      <w:r>
        <w:rPr>
          <w:rFonts w:hint="eastAsia" w:cs="仿宋_GB2312"/>
          <w:color w:val="000000" w:themeColor="text1"/>
          <w:szCs w:val="32"/>
          <w14:textFill>
            <w14:solidFill>
              <w14:schemeClr w14:val="tx1"/>
            </w14:solidFill>
          </w14:textFill>
        </w:rPr>
        <w:t>我</w:t>
      </w:r>
      <w:r>
        <w:rPr>
          <w:rFonts w:cs="仿宋_GB2312"/>
          <w:color w:val="000000" w:themeColor="text1"/>
          <w:szCs w:val="32"/>
          <w14:textFill>
            <w14:solidFill>
              <w14:schemeClr w14:val="tx1"/>
            </w14:solidFill>
          </w14:textFill>
        </w:rPr>
        <w:t>市、国家输送更多青少年体育后备人才。</w:t>
      </w:r>
      <w:r>
        <w:rPr>
          <w:rFonts w:hint="eastAsia" w:cs="仿宋_GB2312"/>
          <w:color w:val="000000" w:themeColor="text1"/>
          <w:szCs w:val="32"/>
          <w14:textFill>
            <w14:solidFill>
              <w14:schemeClr w14:val="tx1"/>
            </w14:solidFill>
          </w14:textFill>
        </w:rPr>
        <w:t>打造“体育+”产业链条，扩大体育消费，在街区、景区、商圈融入体育元素，以赛事为牵引培育消费集市，以场馆为依托稳固商圈业态，不断培养体育消费新场景、融合发展新业态。</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73567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2DE95082">
            <w:pPr>
              <w:adjustRightInd w:val="0"/>
              <w:snapToGrid w:val="0"/>
              <w:ind w:firstLine="0" w:firstLineChars="0"/>
              <w:jc w:val="center"/>
              <w:rPr>
                <w:b/>
                <w:sz w:val="30"/>
                <w:szCs w:val="30"/>
              </w:rPr>
            </w:pPr>
            <w:r>
              <w:rPr>
                <w:b/>
                <w:sz w:val="30"/>
                <w:szCs w:val="30"/>
              </w:rPr>
              <w:t>专栏</w:t>
            </w:r>
            <w:r>
              <w:rPr>
                <w:rFonts w:hint="eastAsia" w:eastAsia="宋体"/>
                <w:b/>
                <w:sz w:val="30"/>
                <w:szCs w:val="30"/>
              </w:rPr>
              <w:t>7</w:t>
            </w:r>
            <w:r>
              <w:rPr>
                <w:b/>
                <w:sz w:val="30"/>
                <w:szCs w:val="30"/>
              </w:rPr>
              <w:t xml:space="preserve"> </w:t>
            </w:r>
            <w:r>
              <w:rPr>
                <w:rFonts w:hint="eastAsia"/>
                <w:b/>
                <w:sz w:val="30"/>
                <w:szCs w:val="30"/>
              </w:rPr>
              <w:t>民生配套服务设施建设</w:t>
            </w:r>
            <w:r>
              <w:rPr>
                <w:b/>
                <w:sz w:val="30"/>
                <w:szCs w:val="30"/>
              </w:rPr>
              <w:t>项目</w:t>
            </w:r>
          </w:p>
          <w:p w14:paraId="5EAF4A4F">
            <w:pPr>
              <w:adjustRightInd w:val="0"/>
              <w:snapToGrid w:val="0"/>
              <w:ind w:firstLine="602"/>
              <w:rPr>
                <w:sz w:val="30"/>
                <w:szCs w:val="30"/>
              </w:rPr>
            </w:pPr>
            <w:r>
              <w:rPr>
                <w:rFonts w:hint="eastAsia"/>
                <w:b/>
                <w:bCs/>
                <w:sz w:val="30"/>
                <w:szCs w:val="30"/>
              </w:rPr>
              <w:t>（一）天津宝坻区九园南高等职业学校改造</w:t>
            </w:r>
            <w:r>
              <w:rPr>
                <w:b/>
                <w:bCs/>
                <w:sz w:val="30"/>
                <w:szCs w:val="30"/>
              </w:rPr>
              <w:t>工程</w:t>
            </w:r>
            <w:r>
              <w:rPr>
                <w:rFonts w:hint="eastAsia"/>
                <w:b/>
                <w:bCs/>
                <w:sz w:val="30"/>
                <w:szCs w:val="30"/>
              </w:rPr>
              <w:t>。</w:t>
            </w:r>
            <w:r>
              <w:rPr>
                <w:rFonts w:hint="eastAsia"/>
                <w:sz w:val="30"/>
                <w:szCs w:val="30"/>
              </w:rPr>
              <w:t>对现状青年教学楼、学生宿舍、教工宿舍进行装修维护，对建筑外立面、道路、公共空间、市政管线等基础设施进行修缮，新建教学实训用房、图书馆、室内体育用房、食堂及后勤用房等。</w:t>
            </w:r>
          </w:p>
          <w:p w14:paraId="21286676">
            <w:pPr>
              <w:adjustRightInd w:val="0"/>
              <w:snapToGrid w:val="0"/>
              <w:ind w:firstLine="602"/>
              <w:rPr>
                <w:sz w:val="30"/>
                <w:szCs w:val="30"/>
              </w:rPr>
            </w:pPr>
            <w:r>
              <w:rPr>
                <w:rFonts w:hint="eastAsia"/>
                <w:b/>
                <w:bCs/>
                <w:sz w:val="30"/>
                <w:szCs w:val="30"/>
              </w:rPr>
              <w:t>（二）天津市宝坻区中医医院县域医共体资源共享中心建设工程。</w:t>
            </w:r>
            <w:r>
              <w:rPr>
                <w:rFonts w:hint="eastAsia"/>
                <w:sz w:val="30"/>
                <w:szCs w:val="30"/>
              </w:rPr>
              <w:t>以宝坻区中医医院为中心端、基层卫生院为末端，建设资源共享中心。</w:t>
            </w:r>
          </w:p>
          <w:p w14:paraId="0729797E">
            <w:pPr>
              <w:adjustRightInd w:val="0"/>
              <w:snapToGrid w:val="0"/>
              <w:ind w:firstLine="602"/>
              <w:rPr>
                <w:sz w:val="30"/>
                <w:szCs w:val="30"/>
              </w:rPr>
            </w:pPr>
            <w:r>
              <w:rPr>
                <w:rFonts w:hint="eastAsia"/>
                <w:b/>
                <w:bCs/>
                <w:sz w:val="30"/>
                <w:szCs w:val="30"/>
              </w:rPr>
              <w:t>（三）宝坻区普惠养老城企联动示范工程。</w:t>
            </w:r>
            <w:r>
              <w:rPr>
                <w:rFonts w:hint="eastAsia"/>
                <w:sz w:val="30"/>
                <w:szCs w:val="30"/>
              </w:rPr>
              <w:t>新建养老医疗中心、服务中心、老年大学（知青文化中心）护理型养老公寓、活力型养老公寓及商业配套，购置养老服务设备等</w:t>
            </w:r>
            <w:r>
              <w:rPr>
                <w:sz w:val="30"/>
                <w:szCs w:val="30"/>
              </w:rPr>
              <w:t>。</w:t>
            </w:r>
          </w:p>
        </w:tc>
      </w:tr>
    </w:tbl>
    <w:p w14:paraId="4E5F7E23">
      <w:pPr>
        <w:ind w:firstLine="640"/>
        <w:rPr>
          <w:rFonts w:cs="Times New Roman"/>
          <w:szCs w:val="32"/>
        </w:rPr>
      </w:pPr>
      <w:r>
        <w:rPr>
          <w:rFonts w:hint="eastAsia" w:cs="Times New Roman"/>
          <w:szCs w:val="32"/>
        </w:rPr>
        <w:br w:type="page"/>
      </w:r>
    </w:p>
    <w:p w14:paraId="7E503CF5">
      <w:pPr>
        <w:pStyle w:val="3"/>
        <w:spacing w:before="435" w:after="435"/>
        <w:rPr>
          <w:rFonts w:ascii="宋体" w:hAnsi="宋体"/>
        </w:rPr>
      </w:pPr>
      <w:bookmarkStart w:id="238" w:name="_Toc212560114"/>
      <w:bookmarkStart w:id="239" w:name="_Toc219068759"/>
      <w:bookmarkStart w:id="240" w:name="_Toc215679984"/>
      <w:r>
        <w:rPr>
          <w:rFonts w:hint="eastAsia" w:ascii="宋体" w:hAnsi="宋体"/>
        </w:rPr>
        <w:t>第十四章  加快推进社会治理现代化，建设更高水平的平安宝坻</w:t>
      </w:r>
      <w:bookmarkEnd w:id="238"/>
      <w:bookmarkEnd w:id="239"/>
      <w:bookmarkEnd w:id="240"/>
    </w:p>
    <w:p w14:paraId="058B10B8">
      <w:pPr>
        <w:widowControl/>
        <w:ind w:firstLine="640"/>
        <w:jc w:val="left"/>
      </w:pPr>
      <w:r>
        <w:rPr>
          <w:rFonts w:hint="eastAsia"/>
        </w:rPr>
        <w:t>坚定不移贯彻总体国家安全观，更好统筹发展和安全，有效防范和化解公共风险，以“城市安全应急保障全面提升”工程为引领，全面提升应急处置能力，以高效能治理促进高质量发展和高水平安全良性互动，筑牢安全发展的有力保障。</w:t>
      </w:r>
    </w:p>
    <w:p w14:paraId="4F64E2A3">
      <w:pPr>
        <w:pStyle w:val="4"/>
        <w:spacing w:before="217" w:after="217"/>
        <w:rPr>
          <w:rFonts w:ascii="宋体" w:hAnsi="宋体"/>
        </w:rPr>
      </w:pPr>
      <w:bookmarkStart w:id="241" w:name="_Toc219068760"/>
      <w:bookmarkStart w:id="242" w:name="_Toc215679985"/>
      <w:bookmarkStart w:id="243" w:name="_Toc212560115"/>
      <w:r>
        <w:rPr>
          <w:rFonts w:hint="eastAsia" w:ascii="宋体" w:hAnsi="宋体"/>
        </w:rPr>
        <w:t>第一节 深化平安宝坻建设</w:t>
      </w:r>
      <w:bookmarkEnd w:id="241"/>
      <w:bookmarkEnd w:id="242"/>
      <w:bookmarkEnd w:id="243"/>
    </w:p>
    <w:p w14:paraId="23FA6F6B">
      <w:pPr>
        <w:tabs>
          <w:tab w:val="left" w:pos="1021"/>
        </w:tabs>
        <w:ind w:firstLine="640"/>
        <w:contextualSpacing/>
        <w:rPr>
          <w:rFonts w:cs="Times New Roman"/>
          <w:szCs w:val="32"/>
        </w:rPr>
      </w:pPr>
      <w:r>
        <w:rPr>
          <w:rFonts w:hint="eastAsia" w:cs="Times New Roman"/>
          <w:szCs w:val="32"/>
        </w:rPr>
        <w:t>从捍卫国家安全、社会治安防控、应急管理、重点领域防控、金融风险化解等方面着手，优化治安环境，健全应急处突机制，防范化解风险，完善防灾减灾救灾体制，推进安全城市建设。</w:t>
      </w:r>
    </w:p>
    <w:p w14:paraId="6EBD06B9">
      <w:pPr>
        <w:widowControl/>
        <w:ind w:firstLine="640"/>
        <w:rPr>
          <w:rFonts w:cs="Times New Roman"/>
          <w:kern w:val="28"/>
          <w:szCs w:val="32"/>
        </w:rPr>
      </w:pPr>
      <w:r>
        <w:rPr>
          <w:rFonts w:hint="eastAsia" w:eastAsia="楷体" w:cs="楷体"/>
          <w:szCs w:val="32"/>
        </w:rPr>
        <w:t>全力捍卫国家政治安全</w:t>
      </w:r>
      <w:r>
        <w:rPr>
          <w:rFonts w:hint="eastAsia" w:cs="Times New Roman"/>
          <w:kern w:val="28"/>
          <w:szCs w:val="32"/>
        </w:rPr>
        <w:t>。坚决筑牢首都政治、安全“护城河”，严格落实党委（党组）国家安全责任制，把捍卫政治安全摆在首位，完善国家安全风险防控体系，形成全链条全要素协同联动体系合力。严密防范和打击各种渗透颠覆破坏活动、暴力恐怖活动、民族分裂活动、宗教极端活动和邪教活动，有效应对无人机等新型安全威胁。规范密码应用和管理，提升网络与信息安全水平。强化国家安全重点领域协调机制，提高应急应变效能。全面加强国家安全教育，筑牢人民防线。</w:t>
      </w:r>
    </w:p>
    <w:p w14:paraId="0BCE47CA">
      <w:pPr>
        <w:widowControl/>
        <w:ind w:firstLine="640"/>
        <w:rPr>
          <w:rFonts w:eastAsia="楷体" w:cs="楷体"/>
          <w:szCs w:val="32"/>
        </w:rPr>
      </w:pPr>
      <w:r>
        <w:rPr>
          <w:rFonts w:hint="eastAsia" w:eastAsia="楷体" w:cs="楷体"/>
          <w:szCs w:val="32"/>
        </w:rPr>
        <w:t>强化重点领域防控。</w:t>
      </w:r>
      <w:r>
        <w:rPr>
          <w:rFonts w:hint="eastAsia" w:cs="Times New Roman"/>
          <w:b/>
          <w:bCs/>
          <w:kern w:val="28"/>
          <w:szCs w:val="32"/>
        </w:rPr>
        <w:t>增强经济发展韧性和抗风险能力，</w:t>
      </w:r>
      <w:r>
        <w:rPr>
          <w:rFonts w:hint="eastAsia" w:cs="Times New Roman"/>
          <w:kern w:val="28"/>
          <w:szCs w:val="32"/>
        </w:rPr>
        <w:t>全面守好经济安全，健全金融监管和风险防控体系，协助市地方金融管理局，加大对区内地方金融组织的监管力度，完善防范化解重大金融风险处置机制，守住不发生系统性金融风险的底线，严厉打击非法集资活动。建立健全金融风险监测、预警和处置机制，重点关注政府债务、房地产等重点领域风险，牢牢守住不发生系统性、区域性金融风险的底线。协助市地方金融管理局，强化对小额贷款、融资担保公司的监管，加强金融消费者与投资者权益保护，维护良好金融市场秩序。</w:t>
      </w:r>
      <w:r>
        <w:rPr>
          <w:rFonts w:hint="eastAsia" w:cs="Times New Roman"/>
          <w:b/>
          <w:bCs/>
          <w:kern w:val="28"/>
          <w:szCs w:val="32"/>
        </w:rPr>
        <w:t>完善债务管理机制，</w:t>
      </w:r>
      <w:r>
        <w:rPr>
          <w:rFonts w:hint="eastAsia" w:cs="Times New Roman"/>
          <w:kern w:val="28"/>
          <w:szCs w:val="32"/>
        </w:rPr>
        <w:t>坚决遏制增量、稳妥化解存量，健全“借、用、管、还”相统一、公开透明、约束有力的地方政府举债融资机制</w:t>
      </w:r>
      <w:r>
        <w:rPr>
          <w:rFonts w:hint="eastAsia" w:cs="Times New Roman"/>
          <w:bCs/>
          <w:szCs w:val="32"/>
        </w:rPr>
        <w:t>，</w:t>
      </w:r>
      <w:r>
        <w:rPr>
          <w:rFonts w:hint="eastAsia" w:cs="Times New Roman"/>
          <w:kern w:val="28"/>
          <w:szCs w:val="32"/>
        </w:rPr>
        <w:t>加强债务风险源头控制，确保政府债务风险合理可控。统筹各类资金资源，依法依规防范化解地方政府债务风险，坚决守住不发生政府债务风险底线，确保不新增隐性债务。</w:t>
      </w:r>
      <w:r>
        <w:rPr>
          <w:rFonts w:hint="eastAsia" w:cs="Times New Roman"/>
          <w:b/>
          <w:bCs/>
          <w:kern w:val="28"/>
          <w:szCs w:val="32"/>
        </w:rPr>
        <w:t>加大重点领域安全保障能力，</w:t>
      </w:r>
      <w:r>
        <w:rPr>
          <w:rFonts w:hint="eastAsia" w:cs="Times New Roman"/>
          <w:kern w:val="28"/>
          <w:szCs w:val="32"/>
        </w:rPr>
        <w:t>完善和落实安全生产责任制，严格安全生产目标控制、考核、督办和责任追究。推行消防安全责任制，实行危爆物品全程视频监控管理，加快推动政府专职消防队伍建设。提升能源和资源供应链保障能力，维护水利、电力、供水等重要基础设施安全，建设智慧水务平台，提高水资源集约安全利用水平。积极防范人工智能、新能源等新技术新业态安全风险。</w:t>
      </w:r>
      <w:r>
        <w:rPr>
          <w:rFonts w:hint="eastAsia" w:cs="Times New Roman"/>
          <w:b/>
          <w:bCs/>
          <w:kern w:val="28"/>
          <w:szCs w:val="32"/>
        </w:rPr>
        <w:t>落实粮食储备安全保障，</w:t>
      </w:r>
      <w:r>
        <w:rPr>
          <w:rFonts w:hint="eastAsia" w:cs="Times New Roman"/>
          <w:kern w:val="28"/>
          <w:szCs w:val="32"/>
        </w:rPr>
        <w:t>严格落实区级粮食储备4.03万吨规模，在应对重大突发事件中确保民众基本生活需求，迅速补充市场供应，发挥应急保障核心作用。提升绿色仓储能力，推动宝坻区大钟庄储备库粮食仓储设施项目建设，新增仓容7.16万吨。</w:t>
      </w:r>
      <w:r>
        <w:rPr>
          <w:rFonts w:hint="eastAsia" w:cs="Times New Roman"/>
          <w:b/>
          <w:bCs/>
          <w:kern w:val="28"/>
          <w:szCs w:val="32"/>
        </w:rPr>
        <w:t>加快推进自然灾害防治，</w:t>
      </w:r>
      <w:r>
        <w:rPr>
          <w:rFonts w:hint="eastAsia" w:cs="Times New Roman"/>
          <w:kern w:val="28"/>
          <w:szCs w:val="32"/>
        </w:rPr>
        <w:t>加强灾害事故监测预警，定期更新自然灾害普查数据，提高综合防灾减灾救灾能力。强化大数据在气象领域应用，加强气象灾害监测预报预警，提升应对极端天气能力，提高人工影响天气作业能力，加快现代化气象监测、预报、预警等业务系统建设。</w:t>
      </w:r>
      <w:r>
        <w:rPr>
          <w:rFonts w:hint="eastAsia" w:cs="Times New Roman"/>
          <w:b/>
          <w:bCs/>
          <w:kern w:val="28"/>
          <w:szCs w:val="32"/>
        </w:rPr>
        <w:t>落实食品药品安全责任，</w:t>
      </w:r>
      <w:r>
        <w:rPr>
          <w:rFonts w:hint="eastAsia" w:cs="Times New Roman"/>
          <w:kern w:val="28"/>
          <w:szCs w:val="32"/>
        </w:rPr>
        <w:t>严抓食品药品源头治理和过程管控，严惩食品药品违法行为，切实保障人民群众饮食用药安全。</w:t>
      </w:r>
      <w:r>
        <w:rPr>
          <w:rFonts w:hint="eastAsia" w:cs="Times New Roman"/>
          <w:b/>
          <w:bCs/>
          <w:kern w:val="28"/>
          <w:szCs w:val="32"/>
        </w:rPr>
        <w:t>加快国防动员能力建设，</w:t>
      </w:r>
      <w:r>
        <w:rPr>
          <w:rFonts w:hint="eastAsia" w:cs="Times New Roman"/>
          <w:kern w:val="28"/>
          <w:szCs w:val="32"/>
        </w:rPr>
        <w:t>推进国防动员和社会经济融合发展，厚植国防动员资源潜力，加快国防动员信息化建设，加强军事设施保护，巩固提升城市防护和重要目标防护能力。加快培育、提升新兴领域国防动员能力，加强后备力量建设，完善民兵和专业保障力量编建机制，不断巩固和发展军政军民团结。</w:t>
      </w:r>
    </w:p>
    <w:p w14:paraId="4B25E1AA">
      <w:pPr>
        <w:widowControl/>
        <w:ind w:firstLine="640"/>
        <w:rPr>
          <w:rFonts w:cs="Times New Roman"/>
          <w:kern w:val="28"/>
          <w:szCs w:val="32"/>
        </w:rPr>
      </w:pPr>
      <w:r>
        <w:rPr>
          <w:rFonts w:hint="eastAsia" w:eastAsia="楷体" w:cs="楷体"/>
          <w:szCs w:val="32"/>
        </w:rPr>
        <w:t>强化公共安全治理。</w:t>
      </w:r>
      <w:r>
        <w:rPr>
          <w:rFonts w:hint="eastAsia" w:cs="Times New Roman"/>
          <w:b/>
          <w:bCs/>
          <w:kern w:val="28"/>
          <w:szCs w:val="32"/>
        </w:rPr>
        <w:t>加强应急指挥能力建设，</w:t>
      </w:r>
      <w:r>
        <w:rPr>
          <w:rFonts w:hint="eastAsia" w:cs="Times New Roman"/>
          <w:kern w:val="28"/>
          <w:szCs w:val="32"/>
        </w:rPr>
        <w:t>完善临灾预警“叫应”机制，提高防灾减灾救灾和重大突发公共事件处置保障能力。健全城市防洪排涝体系，强化城市生命线安全运行保障。升级应急物资供应链保障能力，强化应急救灾物资储备，科学确定应急物资储备品种及规模。</w:t>
      </w:r>
      <w:r>
        <w:rPr>
          <w:rFonts w:hint="eastAsia" w:cs="Times New Roman"/>
          <w:b/>
          <w:bCs/>
          <w:kern w:val="28"/>
          <w:szCs w:val="32"/>
        </w:rPr>
        <w:t>深化安全生产隐患排查整治</w:t>
      </w:r>
      <w:r>
        <w:rPr>
          <w:rFonts w:hint="eastAsia" w:cs="Times New Roman"/>
          <w:kern w:val="28"/>
          <w:szCs w:val="32"/>
        </w:rPr>
        <w:t>，加强交通运输、建筑施工、消防、燃气、危险化学品、测绘数据等重点领域的风险隐患常态化排查整治，实施全主体、全品种、全链条安全管理，坚决遏制重特大安全事故发生。</w:t>
      </w:r>
    </w:p>
    <w:p w14:paraId="72F33E24">
      <w:pPr>
        <w:widowControl/>
        <w:ind w:firstLine="640"/>
        <w:rPr>
          <w:rFonts w:cs="Times New Roman"/>
          <w:kern w:val="28"/>
          <w:szCs w:val="32"/>
        </w:rPr>
      </w:pPr>
      <w:r>
        <w:rPr>
          <w:rFonts w:hint="eastAsia" w:eastAsia="楷体" w:cs="楷体"/>
          <w:szCs w:val="32"/>
        </w:rPr>
        <w:t>提高公共安全保障能力。</w:t>
      </w:r>
      <w:r>
        <w:rPr>
          <w:rFonts w:hint="eastAsia" w:cs="Times New Roman"/>
          <w:kern w:val="28"/>
          <w:szCs w:val="32"/>
        </w:rPr>
        <w:t>坚持人民至上、生命至上，把保护人民生命安全摆在首位，严打严治黄赌毒、盗抢骗等突出违法犯罪，完善打击犯罪新机制和扫黑除恶常态化机制，建立健全青少年违法犯罪综合治理体系，深化网络空间安全综合治理，加强个人信息保护。深入落实维护社会稳定责任制，注重健全源头治理机制，强化未成年人违法犯罪预防和治理。加强各类社会矛盾风险隐患的预防和化解，牢牢把握社会风险防控主动权，切实防范化解矛盾风险。加强社会治安防控体系建设，严密社会面整体防控，严格公共安全监管，建设完善立体化、法治化、专业化、智能化的社会治安整体防控体系，形成城乡统筹、网上网下融合、人防物防技防结合、打防管控一体社会治安防控新格局，促进治安环境持续优化。织密防控网络，加强对校园、医院、企业等重点场所的安全防范工作，完善“治安防控圈”建设，做好治安卡口建设，提升整体防控能力。</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61"/>
      </w:tblGrid>
      <w:tr w14:paraId="2E0C4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6A0BBC18">
            <w:pPr>
              <w:adjustRightInd w:val="0"/>
              <w:snapToGrid w:val="0"/>
              <w:ind w:firstLine="0" w:firstLineChars="0"/>
              <w:jc w:val="center"/>
              <w:rPr>
                <w:szCs w:val="32"/>
              </w:rPr>
            </w:pPr>
            <w:r>
              <w:rPr>
                <w:rFonts w:hint="eastAsia"/>
                <w:b/>
                <w:sz w:val="28"/>
                <w:szCs w:val="36"/>
              </w:rPr>
              <w:t>引领工程之十二</w:t>
            </w:r>
            <w:r>
              <w:rPr>
                <w:b/>
                <w:sz w:val="28"/>
                <w:szCs w:val="36"/>
              </w:rPr>
              <w:t xml:space="preserve"> </w:t>
            </w:r>
            <w:r>
              <w:rPr>
                <w:rFonts w:hint="eastAsia"/>
                <w:b/>
                <w:sz w:val="28"/>
                <w:szCs w:val="36"/>
              </w:rPr>
              <w:t>“城市安全</w:t>
            </w:r>
            <w:r>
              <w:rPr>
                <w:b/>
                <w:sz w:val="28"/>
                <w:szCs w:val="36"/>
              </w:rPr>
              <w:t>应急</w:t>
            </w:r>
            <w:r>
              <w:rPr>
                <w:rFonts w:hint="eastAsia"/>
                <w:b/>
                <w:sz w:val="28"/>
                <w:szCs w:val="36"/>
              </w:rPr>
              <w:t>保障全面提升”</w:t>
            </w:r>
            <w:r>
              <w:rPr>
                <w:b/>
                <w:sz w:val="28"/>
                <w:szCs w:val="36"/>
              </w:rPr>
              <w:t>工程</w:t>
            </w:r>
          </w:p>
        </w:tc>
      </w:tr>
      <w:tr w14:paraId="0830A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tcPr>
          <w:p w14:paraId="2B2ABFDC">
            <w:pPr>
              <w:adjustRightInd w:val="0"/>
              <w:snapToGrid w:val="0"/>
              <w:ind w:firstLine="600"/>
              <w:rPr>
                <w:sz w:val="30"/>
                <w:szCs w:val="30"/>
              </w:rPr>
            </w:pPr>
            <w:r>
              <w:rPr>
                <w:rFonts w:hint="eastAsia"/>
                <w:sz w:val="30"/>
                <w:szCs w:val="30"/>
              </w:rPr>
              <w:t>聚焦城市安全应急保障全面提升，形成全区统一高效的应急联动机制，提升应急救援能力，强化基层基础保障，构建全方位安全防护体系。</w:t>
            </w:r>
          </w:p>
          <w:p w14:paraId="0ECA67F7">
            <w:pPr>
              <w:adjustRightInd w:val="0"/>
              <w:snapToGrid w:val="0"/>
              <w:ind w:firstLine="602"/>
              <w:rPr>
                <w:sz w:val="30"/>
                <w:szCs w:val="30"/>
              </w:rPr>
            </w:pPr>
            <w:r>
              <w:rPr>
                <w:rFonts w:hint="eastAsia"/>
                <w:b/>
                <w:sz w:val="30"/>
                <w:szCs w:val="30"/>
              </w:rPr>
              <w:t>（一）</w:t>
            </w:r>
            <w:r>
              <w:rPr>
                <w:b/>
                <w:bCs/>
                <w:sz w:val="30"/>
                <w:szCs w:val="30"/>
              </w:rPr>
              <w:t>深化安全生产专项整治</w:t>
            </w:r>
            <w:r>
              <w:rPr>
                <w:rFonts w:hint="eastAsia"/>
                <w:b/>
                <w:bCs/>
                <w:sz w:val="30"/>
                <w:szCs w:val="30"/>
              </w:rPr>
              <w:t>。</w:t>
            </w:r>
            <w:r>
              <w:rPr>
                <w:rFonts w:hint="eastAsia"/>
                <w:sz w:val="30"/>
                <w:szCs w:val="30"/>
              </w:rPr>
              <w:t>扎实推进安全生产治本攻坚三年行动，以常态化督查督导为抓手，强化安全生产统筹协调、考核监督与综合监管职能，健全完善事故预防机制，推动安全生产责任逐级传导、全面落实。保持“打非治违”高压态势，对漠视安全、罔顾生命的违法违规企业依法依规从严从重上限处罚。</w:t>
            </w:r>
          </w:p>
          <w:p w14:paraId="43F84380">
            <w:pPr>
              <w:adjustRightInd w:val="0"/>
              <w:snapToGrid w:val="0"/>
              <w:ind w:firstLine="602"/>
              <w:rPr>
                <w:sz w:val="30"/>
                <w:szCs w:val="30"/>
              </w:rPr>
            </w:pPr>
            <w:r>
              <w:rPr>
                <w:rFonts w:hint="eastAsia"/>
                <w:b/>
                <w:bCs/>
                <w:sz w:val="30"/>
                <w:szCs w:val="30"/>
              </w:rPr>
              <w:t>（二）强化灾害性天气服务保障能力。</w:t>
            </w:r>
            <w:r>
              <w:rPr>
                <w:rFonts w:hint="eastAsia"/>
                <w:sz w:val="30"/>
                <w:szCs w:val="30"/>
              </w:rPr>
              <w:t>强化生态气象精细化监测与防灾减灾服务，提质增效预警信息发布终端，提升气象文化软实力及低空经济气象保障服务能力，推动智慧气象二期平台、人工影响天气服务等工程建设。提升北三河流域洪涝、强对流等灾害应对能力，为区域安全发展筑牢气象防灾减灾第一道防线。</w:t>
            </w:r>
          </w:p>
          <w:p w14:paraId="1D90174D">
            <w:pPr>
              <w:adjustRightInd w:val="0"/>
              <w:snapToGrid w:val="0"/>
              <w:ind w:firstLine="602"/>
              <w:rPr>
                <w:sz w:val="30"/>
                <w:szCs w:val="30"/>
              </w:rPr>
            </w:pPr>
            <w:r>
              <w:rPr>
                <w:rFonts w:hint="eastAsia"/>
                <w:b/>
                <w:bCs/>
                <w:sz w:val="30"/>
                <w:szCs w:val="30"/>
              </w:rPr>
              <w:t>（三）完善城市安全应急保障体系。</w:t>
            </w:r>
            <w:r>
              <w:rPr>
                <w:rFonts w:hint="eastAsia"/>
                <w:sz w:val="30"/>
                <w:szCs w:val="30"/>
              </w:rPr>
              <w:t>深化京津冀协同发展城市安全应急保障体系建设，聚焦跨区域突发事件联防联控需求，推动三地建立统一规范的应急响应协同机制，谋划建设京津冀协同城市安全应急指挥中心、应急热备队伍培训基地及应急救援、物资储备基地仓库等。</w:t>
            </w:r>
          </w:p>
          <w:p w14:paraId="14938EEF">
            <w:pPr>
              <w:adjustRightInd w:val="0"/>
              <w:snapToGrid w:val="0"/>
              <w:ind w:firstLine="602"/>
              <w:rPr>
                <w:sz w:val="30"/>
                <w:szCs w:val="30"/>
              </w:rPr>
            </w:pPr>
            <w:r>
              <w:rPr>
                <w:rFonts w:hint="eastAsia"/>
                <w:b/>
                <w:bCs/>
                <w:sz w:val="30"/>
                <w:szCs w:val="30"/>
              </w:rPr>
              <w:t>（四）提升全流域防洪排涝能力。</w:t>
            </w:r>
            <w:r>
              <w:rPr>
                <w:rFonts w:hint="eastAsia"/>
                <w:sz w:val="30"/>
                <w:szCs w:val="30"/>
              </w:rPr>
              <w:t>优化升级流域防洪体系，推进堤防加高加固与未治理段整治，确保重点河道中潮白新河、青龙湾减河河道防洪等级稳定在50年一遇、其他重点河道达20年一遇。实施泵站建设工程，更新改造5座、扩建3座泵站，整合提升区域排水能力，同步推进泵站与管网互联互通，强化城区内涝快速排除能力。对宝坻新城城区内及周边河道进行系统性</w:t>
            </w:r>
            <w:r>
              <w:rPr>
                <w:sz w:val="30"/>
                <w:szCs w:val="30"/>
              </w:rPr>
              <w:t>清淤</w:t>
            </w:r>
            <w:r>
              <w:rPr>
                <w:rFonts w:hint="eastAsia"/>
                <w:sz w:val="30"/>
                <w:szCs w:val="30"/>
              </w:rPr>
              <w:t>治理</w:t>
            </w:r>
            <w:r>
              <w:rPr>
                <w:sz w:val="30"/>
                <w:szCs w:val="30"/>
              </w:rPr>
              <w:t>，</w:t>
            </w:r>
            <w:r>
              <w:rPr>
                <w:rFonts w:hint="eastAsia"/>
                <w:sz w:val="30"/>
                <w:szCs w:val="30"/>
              </w:rPr>
              <w:t>提升现状排蓄能力，改善周边环境，保障河道功能长效性。</w:t>
            </w:r>
          </w:p>
          <w:p w14:paraId="1F1EED60">
            <w:pPr>
              <w:adjustRightInd w:val="0"/>
              <w:snapToGrid w:val="0"/>
              <w:ind w:firstLine="602"/>
              <w:rPr>
                <w:sz w:val="30"/>
                <w:szCs w:val="30"/>
              </w:rPr>
            </w:pPr>
            <w:r>
              <w:rPr>
                <w:rFonts w:hint="eastAsia"/>
                <w:b/>
                <w:bCs/>
                <w:sz w:val="30"/>
                <w:szCs w:val="30"/>
              </w:rPr>
              <w:t>（五）推动消防基础设施建设。</w:t>
            </w:r>
            <w:r>
              <w:rPr>
                <w:rFonts w:hint="eastAsia"/>
                <w:sz w:val="30"/>
                <w:szCs w:val="30"/>
              </w:rPr>
              <w:t>按照信息化战略规划总体框架，形成广域覆盖的消防感知网络、集约融合的基础通信网络、开放共享的数据支撑体系、智慧联动的业务应用体系。加快推动老城区自来水管网的建设和改造工程，“十五五”期间，新建小型普通消防站1座，二级指挥中心1座。</w:t>
            </w:r>
          </w:p>
        </w:tc>
      </w:tr>
    </w:tbl>
    <w:p w14:paraId="70CDC38B">
      <w:pPr>
        <w:pStyle w:val="4"/>
        <w:spacing w:before="217" w:after="217"/>
        <w:rPr>
          <w:rFonts w:ascii="宋体" w:hAnsi="宋体"/>
        </w:rPr>
      </w:pPr>
      <w:bookmarkStart w:id="244" w:name="_Toc215679986"/>
      <w:bookmarkStart w:id="245" w:name="_Toc219068761"/>
      <w:bookmarkStart w:id="246" w:name="_Toc212560116"/>
      <w:r>
        <w:rPr>
          <w:rFonts w:hint="eastAsia" w:ascii="宋体" w:hAnsi="宋体"/>
        </w:rPr>
        <w:t>第二节 深入夯实法治建设根基</w:t>
      </w:r>
      <w:bookmarkEnd w:id="244"/>
      <w:bookmarkEnd w:id="245"/>
      <w:bookmarkEnd w:id="246"/>
    </w:p>
    <w:p w14:paraId="6ED22DDC">
      <w:pPr>
        <w:ind w:firstLine="640"/>
        <w:contextualSpacing/>
        <w:rPr>
          <w:rFonts w:cs="Times New Roman"/>
          <w:kern w:val="28"/>
          <w:szCs w:val="32"/>
        </w:rPr>
      </w:pPr>
      <w:r>
        <w:rPr>
          <w:rFonts w:hint="eastAsia" w:cs="Times New Roman"/>
          <w:kern w:val="28"/>
          <w:szCs w:val="32"/>
        </w:rPr>
        <w:t>强化法治监督，确保法律执行，加大执法司法监督力度，纠正违法，建设法治人才队伍，推进法治创新，整合法律服务资源，提升全民法治素养，实施“九五”普法，提升普法实效。</w:t>
      </w:r>
    </w:p>
    <w:p w14:paraId="231C37F7">
      <w:pPr>
        <w:ind w:firstLine="640"/>
        <w:contextualSpacing/>
        <w:rPr>
          <w:rFonts w:cs="Times New Roman"/>
          <w:kern w:val="28"/>
          <w:szCs w:val="32"/>
        </w:rPr>
      </w:pPr>
      <w:r>
        <w:rPr>
          <w:rFonts w:hint="eastAsia" w:eastAsia="楷体" w:cs="楷体"/>
          <w:szCs w:val="32"/>
        </w:rPr>
        <w:t>推进社会主义民主法治建设。</w:t>
      </w:r>
      <w:r>
        <w:rPr>
          <w:rFonts w:hint="eastAsia" w:cs="Times New Roman"/>
          <w:kern w:val="28"/>
          <w:szCs w:val="32"/>
        </w:rPr>
        <w:t>坚持党的领导、人民当家作主、依法治国有机统一，践行全过程人民民主。支持人大及其常委会依法履行职能、开展工作，健全人大对“一府、一委、两院”监督制度，确保人民群众民主权利、合法权益得到维护和实现。支持人民政协发挥社会主义协商民主的重要渠道和专门协商机构作用，加强各种协商渠道协同配合。健全吸纳民意、汇集民智工作机制。更好发挥工会、共青团、妇联等群团组织桥梁纽带作用。完善大统战工作格局，加强同民主党派和无党派人士团结合作，做好民族、宗教、外事、侨务、港澳、对台和党外知识分子工作。坚持党管武装，持续巩固双拥工作成果，深化军民融合发展。</w:t>
      </w:r>
    </w:p>
    <w:p w14:paraId="64C767CB">
      <w:pPr>
        <w:ind w:firstLine="640"/>
        <w:contextualSpacing/>
        <w:rPr>
          <w:rFonts w:cs="Times New Roman"/>
          <w:kern w:val="28"/>
          <w:szCs w:val="32"/>
        </w:rPr>
      </w:pPr>
      <w:r>
        <w:rPr>
          <w:rFonts w:hint="eastAsia" w:eastAsia="楷体" w:cs="楷体"/>
          <w:szCs w:val="32"/>
        </w:rPr>
        <w:t>坚持全面依法治区。</w:t>
      </w:r>
      <w:r>
        <w:rPr>
          <w:rFonts w:hint="eastAsia" w:cs="Times New Roman"/>
          <w:kern w:val="28"/>
          <w:szCs w:val="32"/>
        </w:rPr>
        <w:t>协同推进严格执法、公正司法、全民守法，加强宪法法律实施和监督，巩固法治宝坻建设成果。深化法治政府建设，全面实行行政规范性文件备案审查，健全行政复议体制机制，推进政法工作数字化平台建设，防止权力异化和滥用。</w:t>
      </w:r>
      <w:r>
        <w:rPr>
          <w:rFonts w:cs="Times New Roman"/>
          <w:kern w:val="28"/>
          <w:szCs w:val="32"/>
        </w:rPr>
        <w:t>全面落实行政执法“三项制度”，严格履行</w:t>
      </w:r>
      <w:r>
        <w:rPr>
          <w:rFonts w:hint="eastAsia" w:cs="Times New Roman"/>
          <w:kern w:val="28"/>
          <w:szCs w:val="32"/>
        </w:rPr>
        <w:t>“</w:t>
      </w:r>
      <w:r>
        <w:rPr>
          <w:rFonts w:cs="Times New Roman"/>
          <w:kern w:val="28"/>
          <w:szCs w:val="32"/>
        </w:rPr>
        <w:t>三重一大</w:t>
      </w:r>
      <w:r>
        <w:rPr>
          <w:rFonts w:hint="eastAsia" w:cs="Times New Roman"/>
          <w:kern w:val="28"/>
          <w:szCs w:val="32"/>
        </w:rPr>
        <w:t>”</w:t>
      </w:r>
      <w:r>
        <w:rPr>
          <w:rFonts w:cs="Times New Roman"/>
          <w:kern w:val="28"/>
          <w:szCs w:val="32"/>
        </w:rPr>
        <w:t>事项法定程序，优化行政决策程序，加快构建职责明确、依法行政的政府治理体系。推进机构、职能、权限、程序、责任法定化，动态调整权力清单，规范行政自由裁量权。加大政务公开力度，推动权力公开透明运行，让群众看得到、听得懂、能监督</w:t>
      </w:r>
      <w:r>
        <w:rPr>
          <w:rFonts w:hint="eastAsia" w:cs="Times New Roman"/>
          <w:kern w:val="28"/>
          <w:szCs w:val="32"/>
        </w:rPr>
        <w:t>，</w:t>
      </w:r>
      <w:r>
        <w:rPr>
          <w:rFonts w:cs="Times New Roman"/>
          <w:kern w:val="28"/>
          <w:szCs w:val="32"/>
        </w:rPr>
        <w:t>依法规范和保障行政问责</w:t>
      </w:r>
      <w:r>
        <w:rPr>
          <w:rFonts w:hint="eastAsia" w:cs="Times New Roman"/>
          <w:kern w:val="28"/>
          <w:szCs w:val="32"/>
        </w:rPr>
        <w:t>。</w:t>
      </w:r>
    </w:p>
    <w:p w14:paraId="5A9A7D1C">
      <w:pPr>
        <w:ind w:firstLine="640"/>
        <w:contextualSpacing/>
        <w:rPr>
          <w:rFonts w:cs="Times New Roman"/>
          <w:kern w:val="28"/>
          <w:szCs w:val="32"/>
        </w:rPr>
      </w:pPr>
      <w:r>
        <w:rPr>
          <w:rFonts w:hint="eastAsia" w:eastAsia="楷体" w:cs="楷体"/>
          <w:szCs w:val="32"/>
        </w:rPr>
        <w:t>深化法治体系监督。</w:t>
      </w:r>
      <w:r>
        <w:rPr>
          <w:rFonts w:hint="eastAsia" w:cs="Times New Roman"/>
          <w:kern w:val="28"/>
          <w:szCs w:val="32"/>
        </w:rPr>
        <w:t>加大对执法、司法等领域的监督力度，建立健全常态化监督机制，及时发现和纠正违法违规行为</w:t>
      </w:r>
      <w:r>
        <w:rPr>
          <w:rFonts w:cs="Times New Roman"/>
          <w:kern w:val="28"/>
          <w:szCs w:val="32"/>
        </w:rPr>
        <w:t>，杜绝选择性执法、</w:t>
      </w:r>
      <w:r>
        <w:rPr>
          <w:rFonts w:hint="eastAsia" w:cs="Times New Roman"/>
          <w:kern w:val="28"/>
          <w:szCs w:val="32"/>
        </w:rPr>
        <w:t>执</w:t>
      </w:r>
      <w:r>
        <w:rPr>
          <w:rFonts w:cs="Times New Roman"/>
          <w:kern w:val="28"/>
          <w:szCs w:val="32"/>
        </w:rPr>
        <w:t>法不公等问题</w:t>
      </w:r>
      <w:r>
        <w:rPr>
          <w:rFonts w:hint="eastAsia" w:cs="Times New Roman"/>
          <w:kern w:val="28"/>
          <w:szCs w:val="32"/>
        </w:rPr>
        <w:t>。</w:t>
      </w:r>
      <w:r>
        <w:rPr>
          <w:rFonts w:cs="Times New Roman"/>
          <w:kern w:val="28"/>
          <w:szCs w:val="32"/>
        </w:rPr>
        <w:t>拓宽监督覆盖领域</w:t>
      </w:r>
      <w:r>
        <w:rPr>
          <w:rFonts w:hint="eastAsia" w:cs="Times New Roman"/>
          <w:kern w:val="28"/>
          <w:szCs w:val="32"/>
        </w:rPr>
        <w:t>，</w:t>
      </w:r>
      <w:r>
        <w:rPr>
          <w:rFonts w:cs="Times New Roman"/>
          <w:kern w:val="28"/>
          <w:szCs w:val="32"/>
        </w:rPr>
        <w:t>对市场监管、生态环保、安全生产等执法领域开展全</w:t>
      </w:r>
      <w:r>
        <w:rPr>
          <w:rFonts w:hint="eastAsia" w:cs="Times New Roman"/>
          <w:kern w:val="28"/>
          <w:szCs w:val="32"/>
        </w:rPr>
        <w:t>过程</w:t>
      </w:r>
      <w:r>
        <w:rPr>
          <w:rFonts w:cs="Times New Roman"/>
          <w:kern w:val="28"/>
          <w:szCs w:val="32"/>
        </w:rPr>
        <w:t>监督。</w:t>
      </w:r>
      <w:r>
        <w:rPr>
          <w:rFonts w:hint="eastAsia" w:cs="Times New Roman"/>
          <w:kern w:val="28"/>
          <w:szCs w:val="32"/>
        </w:rPr>
        <w:t>强化检察监督，加强公益诉讼，</w:t>
      </w:r>
      <w:r>
        <w:rPr>
          <w:rFonts w:cs="Times New Roman"/>
          <w:kern w:val="28"/>
          <w:szCs w:val="32"/>
        </w:rPr>
        <w:t>整合人大监督、民主监督、行政监督、司法监督等力量，建立</w:t>
      </w:r>
      <w:r>
        <w:rPr>
          <w:rFonts w:hint="eastAsia" w:cs="Times New Roman"/>
          <w:kern w:val="28"/>
          <w:szCs w:val="32"/>
        </w:rPr>
        <w:t>“</w:t>
      </w:r>
      <w:r>
        <w:rPr>
          <w:rFonts w:cs="Times New Roman"/>
          <w:kern w:val="28"/>
          <w:szCs w:val="32"/>
        </w:rPr>
        <w:t>日常检查+专项督查+随机抽查</w:t>
      </w:r>
      <w:r>
        <w:rPr>
          <w:rFonts w:hint="eastAsia" w:cs="Times New Roman"/>
          <w:kern w:val="28"/>
          <w:szCs w:val="32"/>
        </w:rPr>
        <w:t>”</w:t>
      </w:r>
      <w:r>
        <w:rPr>
          <w:rFonts w:cs="Times New Roman"/>
          <w:kern w:val="28"/>
          <w:szCs w:val="32"/>
        </w:rPr>
        <w:t>模式，借助大数据技术搭建监督信息平台，实时跟踪执法司法行为。</w:t>
      </w:r>
      <w:r>
        <w:rPr>
          <w:rFonts w:hint="eastAsia" w:cs="Times New Roman"/>
          <w:kern w:val="28"/>
          <w:szCs w:val="32"/>
        </w:rPr>
        <w:t>完善司法服务保障发展机制，建强京津中关村科技城法庭，创新涉企纠纷多元化解模式。强化产权执法司法保护，完善行政处罚等领域行政裁量权基准制度，加强食品药品安全等领域监管。综合整治“内卷式”竞争，进一步规范招商引资行为。</w:t>
      </w:r>
    </w:p>
    <w:p w14:paraId="6C6F27B7">
      <w:pPr>
        <w:widowControl/>
        <w:ind w:firstLine="640"/>
        <w:rPr>
          <w:rFonts w:cs="Times New Roman"/>
          <w:kern w:val="28"/>
          <w:szCs w:val="32"/>
        </w:rPr>
      </w:pPr>
      <w:r>
        <w:rPr>
          <w:rFonts w:hint="eastAsia" w:eastAsia="楷体" w:cs="楷体"/>
          <w:szCs w:val="32"/>
        </w:rPr>
        <w:t>提升全民法治素养。</w:t>
      </w:r>
      <w:r>
        <w:rPr>
          <w:rFonts w:hint="eastAsia" w:cs="Times New Roman"/>
          <w:kern w:val="28"/>
          <w:szCs w:val="32"/>
        </w:rPr>
        <w:t>深化法治政府建设，</w:t>
      </w:r>
      <w:r>
        <w:rPr>
          <w:rFonts w:cs="Times New Roman"/>
          <w:kern w:val="28"/>
          <w:szCs w:val="32"/>
        </w:rPr>
        <w:t>全面实施</w:t>
      </w:r>
      <w:r>
        <w:rPr>
          <w:rFonts w:hint="eastAsia" w:cs="Times New Roman"/>
          <w:kern w:val="28"/>
          <w:szCs w:val="32"/>
        </w:rPr>
        <w:t>“</w:t>
      </w:r>
      <w:r>
        <w:rPr>
          <w:rFonts w:cs="Times New Roman"/>
          <w:kern w:val="28"/>
          <w:szCs w:val="32"/>
        </w:rPr>
        <w:t>九五</w:t>
      </w:r>
      <w:r>
        <w:rPr>
          <w:rFonts w:hint="eastAsia" w:cs="Times New Roman"/>
          <w:kern w:val="28"/>
          <w:szCs w:val="32"/>
        </w:rPr>
        <w:t>”</w:t>
      </w:r>
      <w:r>
        <w:rPr>
          <w:rFonts w:cs="Times New Roman"/>
          <w:kern w:val="28"/>
          <w:szCs w:val="32"/>
        </w:rPr>
        <w:t>普法</w:t>
      </w:r>
      <w:r>
        <w:rPr>
          <w:rFonts w:hint="eastAsia" w:cs="Times New Roman"/>
          <w:kern w:val="28"/>
          <w:szCs w:val="32"/>
        </w:rPr>
        <w:t>，加大重点普法对象法治宣传教育力度，弘扬社会主义法治精神。</w:t>
      </w:r>
      <w:r>
        <w:rPr>
          <w:rFonts w:cs="Times New Roman"/>
          <w:kern w:val="28"/>
          <w:szCs w:val="32"/>
        </w:rPr>
        <w:t>健全人民群众参与和促进法治建设制度，切实提高普法针对性与实效性，筑牢全民守法思想根基。抓实青少年等“关键群体”法治教育，充分运用</w:t>
      </w:r>
      <w:r>
        <w:rPr>
          <w:rFonts w:hint="eastAsia" w:cs="Times New Roman"/>
          <w:kern w:val="28"/>
          <w:szCs w:val="32"/>
        </w:rPr>
        <w:t>“</w:t>
      </w:r>
      <w:r>
        <w:rPr>
          <w:rFonts w:cs="Times New Roman"/>
          <w:kern w:val="28"/>
          <w:szCs w:val="32"/>
        </w:rPr>
        <w:t>线上+线下</w:t>
      </w:r>
      <w:r>
        <w:rPr>
          <w:rFonts w:hint="eastAsia" w:cs="Times New Roman"/>
          <w:kern w:val="28"/>
          <w:szCs w:val="32"/>
        </w:rPr>
        <w:t>”</w:t>
      </w:r>
      <w:r>
        <w:rPr>
          <w:rFonts w:cs="Times New Roman"/>
          <w:kern w:val="28"/>
          <w:szCs w:val="32"/>
        </w:rPr>
        <w:t>方式开展普法宣传活动，联合高校、律所组建法治教育讲师团，定期为师生提供专题培训</w:t>
      </w:r>
      <w:r>
        <w:rPr>
          <w:rFonts w:hint="eastAsia" w:cs="Times New Roman"/>
          <w:kern w:val="28"/>
          <w:szCs w:val="32"/>
        </w:rPr>
        <w:t>，</w:t>
      </w:r>
      <w:r>
        <w:rPr>
          <w:rFonts w:cs="Times New Roman"/>
          <w:kern w:val="28"/>
          <w:szCs w:val="32"/>
        </w:rPr>
        <w:t>青少年法治知识知晓率提升至</w:t>
      </w:r>
      <w:r>
        <w:rPr>
          <w:rFonts w:hint="eastAsia" w:cs="Times New Roman"/>
          <w:kern w:val="28"/>
          <w:szCs w:val="32"/>
        </w:rPr>
        <w:t>98%。</w:t>
      </w:r>
      <w:r>
        <w:rPr>
          <w:rFonts w:cs="Times New Roman"/>
          <w:kern w:val="28"/>
          <w:szCs w:val="32"/>
        </w:rPr>
        <w:t>加大短视频等普法产品供给，提高普法的针对性和实效性</w:t>
      </w:r>
      <w:r>
        <w:rPr>
          <w:rFonts w:hint="eastAsia" w:cs="Times New Roman"/>
          <w:kern w:val="28"/>
          <w:szCs w:val="32"/>
        </w:rPr>
        <w:t>。筑牢全民普法根基，推动全民普法</w:t>
      </w:r>
      <w:r>
        <w:rPr>
          <w:rFonts w:cs="Times New Roman"/>
          <w:kern w:val="28"/>
          <w:szCs w:val="32"/>
        </w:rPr>
        <w:t>健全激励机制，优化人才发展环境，让优秀法治人才扎根宝坻，为法治建设注入持久智力动能。定向培养基层法治人才</w:t>
      </w:r>
      <w:r>
        <w:rPr>
          <w:rFonts w:hint="eastAsia" w:cs="Times New Roman"/>
          <w:kern w:val="28"/>
          <w:szCs w:val="32"/>
        </w:rPr>
        <w:t>，</w:t>
      </w:r>
      <w:r>
        <w:rPr>
          <w:rFonts w:cs="Times New Roman"/>
          <w:kern w:val="28"/>
          <w:szCs w:val="32"/>
        </w:rPr>
        <w:t>定期开展执法、司法人员专题培训，聚焦行政复议、商事调解、公益诉讼等重点领域，提升专业能力</w:t>
      </w:r>
      <w:r>
        <w:rPr>
          <w:rFonts w:hint="eastAsia" w:cs="Times New Roman"/>
          <w:kern w:val="28"/>
          <w:szCs w:val="32"/>
        </w:rPr>
        <w:t>。加强法治人才队伍建设，提高党员干部运用法治思维、法治方式开展工作的能力水平。</w:t>
      </w:r>
    </w:p>
    <w:p w14:paraId="27E4D682">
      <w:pPr>
        <w:pStyle w:val="4"/>
        <w:spacing w:before="217" w:after="217"/>
        <w:rPr>
          <w:rFonts w:ascii="宋体" w:hAnsi="宋体"/>
        </w:rPr>
      </w:pPr>
      <w:bookmarkStart w:id="247" w:name="_Toc219068762"/>
      <w:bookmarkStart w:id="248" w:name="_Toc212560117"/>
      <w:bookmarkStart w:id="249" w:name="_Toc215679987"/>
      <w:r>
        <w:rPr>
          <w:rFonts w:hint="eastAsia" w:ascii="宋体" w:hAnsi="宋体"/>
        </w:rPr>
        <w:t>第三节 持续完善社会治理体系</w:t>
      </w:r>
      <w:bookmarkEnd w:id="247"/>
      <w:bookmarkEnd w:id="248"/>
      <w:bookmarkEnd w:id="249"/>
    </w:p>
    <w:p w14:paraId="48D750E3">
      <w:pPr>
        <w:ind w:firstLine="640"/>
        <w:contextualSpacing/>
        <w:rPr>
          <w:rFonts w:cs="Times New Roman"/>
          <w:szCs w:val="32"/>
        </w:rPr>
      </w:pPr>
      <w:r>
        <w:rPr>
          <w:rFonts w:hint="eastAsia" w:cs="Times New Roman"/>
          <w:szCs w:val="32"/>
        </w:rPr>
        <w:t>提高基层治理水平，构建矛盾综合治理机制，加强基层社会治理队伍建设，发挥群团和社会组织作用，完善社会治理体系。</w:t>
      </w:r>
    </w:p>
    <w:p w14:paraId="69C5C4D7">
      <w:pPr>
        <w:ind w:firstLine="640"/>
        <w:contextualSpacing/>
        <w:rPr>
          <w:rFonts w:cs="Times New Roman"/>
          <w:kern w:val="0"/>
          <w:szCs w:val="32"/>
        </w:rPr>
      </w:pPr>
      <w:r>
        <w:rPr>
          <w:rFonts w:hint="eastAsia" w:eastAsia="楷体" w:cs="楷体"/>
          <w:szCs w:val="32"/>
        </w:rPr>
        <w:t>强化基层社会治理。</w:t>
      </w:r>
      <w:r>
        <w:rPr>
          <w:rFonts w:hint="eastAsia" w:cs="Times New Roman"/>
          <w:b/>
          <w:bCs/>
          <w:kern w:val="0"/>
          <w:szCs w:val="32"/>
        </w:rPr>
        <w:t>坚持党建引领基层治理，</w:t>
      </w:r>
      <w:r>
        <w:rPr>
          <w:rFonts w:hint="eastAsia" w:cs="Times New Roman"/>
          <w:kern w:val="0"/>
          <w:szCs w:val="32"/>
        </w:rPr>
        <w:t>扎实推进政治引领、综治能动、法治保障、德治教化、自治强基、智治支撑工程，完善共建共治共享的社会治理制度，形成一批可复制可推广的治理典型和宝坻经验。优化街镇运行机制，推动资源、服务、管理向基层下沉，全面实施街镇履职事项清单，健全村（社区）工作事项准入制度。区、街镇、村社区三级书记每年坚持领办“书记项目”，深化驻区单位党组织和在职党员“双报到”，开展党员承诺践诺、设岗定责、选岗履职等活动，办好群众可感可及的实事好事。</w:t>
      </w:r>
      <w:r>
        <w:rPr>
          <w:rFonts w:hint="eastAsia" w:cs="Times New Roman"/>
          <w:b/>
          <w:bCs/>
          <w:kern w:val="0"/>
          <w:szCs w:val="32"/>
        </w:rPr>
        <w:t>加强基层基础建设，</w:t>
      </w:r>
      <w:r>
        <w:rPr>
          <w:rFonts w:hint="eastAsia" w:cs="Times New Roman"/>
          <w:kern w:val="0"/>
          <w:szCs w:val="32"/>
        </w:rPr>
        <w:t>坚持和发展新时代“枫桥经验”，推进综治中心规范化建设，做强“三所联动”，推进“三室一会综合体”建设，深化“警格网格”融合，深化网上网下协同治理，加强网格化管理措施，打造“精治到‘坻’”网格品牌。发挥市民公约、村规民约等作用，加强家庭家教家风建设，推进移风易俗。健全自治体系，强化基层党组织对村民委员会、居民委员会、业主委员会、物业管理企业、基层社会组织的领导作用。</w:t>
      </w:r>
      <w:r>
        <w:rPr>
          <w:rFonts w:hint="eastAsia" w:cs="Times New Roman"/>
          <w:b/>
          <w:bCs/>
          <w:kern w:val="0"/>
          <w:szCs w:val="32"/>
        </w:rPr>
        <w:t>优化基层社会治理机制，</w:t>
      </w:r>
      <w:r>
        <w:rPr>
          <w:rFonts w:hint="eastAsia" w:cs="Times New Roman"/>
          <w:kern w:val="0"/>
          <w:szCs w:val="32"/>
        </w:rPr>
        <w:t>加强各类主体参与治理的培训与指导，提升参与能力和水平，确保治理工作的专业性和有效性。把情报、指挥、行动一体化运行机制的有效实施纳入平安建设，不断优化治理机制，持续提升基层社会治理服务平台的运行效能，打造共建共治共享的基层社会治理新格局。</w:t>
      </w:r>
    </w:p>
    <w:p w14:paraId="7FB5CC04">
      <w:pPr>
        <w:ind w:firstLine="640"/>
        <w:contextualSpacing/>
        <w:rPr>
          <w:rFonts w:cs="Times New Roman"/>
          <w:kern w:val="0"/>
          <w:szCs w:val="32"/>
        </w:rPr>
      </w:pPr>
      <w:r>
        <w:rPr>
          <w:rFonts w:hint="eastAsia" w:eastAsia="楷体" w:cs="楷体"/>
          <w:szCs w:val="32"/>
        </w:rPr>
        <w:t>推进社会治理现代化。</w:t>
      </w:r>
      <w:r>
        <w:rPr>
          <w:rFonts w:hint="eastAsia" w:cs="Times New Roman"/>
          <w:b/>
          <w:bCs/>
          <w:kern w:val="0"/>
          <w:szCs w:val="32"/>
        </w:rPr>
        <w:t>提升社会治理能力，</w:t>
      </w:r>
      <w:r>
        <w:rPr>
          <w:rFonts w:hint="eastAsia" w:cs="Times New Roman"/>
          <w:kern w:val="0"/>
          <w:szCs w:val="32"/>
        </w:rPr>
        <w:t>发挥群团组织和社会组织作用，完善基层民主协商制度，加强志愿服务组织管理和服务品质提升。推进信访工作法治化，织密信访工作网络。弘扬见义勇为精神，发展壮大群防群治力量，建设人人有责、人人尽责、人人享有的社会治理共同体，使基层社会治理更加有序、高效、和谐，为人民群众创造更加幸福美好的生活，强化12345民生热线等公共服务平台功能，打造“为民连心桥，心‘坻’有回音”热线品牌。</w:t>
      </w:r>
      <w:r>
        <w:rPr>
          <w:rFonts w:hint="eastAsia" w:cs="Times New Roman"/>
          <w:b/>
          <w:bCs/>
          <w:kern w:val="0"/>
          <w:szCs w:val="32"/>
        </w:rPr>
        <w:t>健全社会工作体制机制，</w:t>
      </w:r>
      <w:r>
        <w:rPr>
          <w:rFonts w:hint="eastAsia" w:cs="Times New Roman"/>
          <w:kern w:val="0"/>
          <w:szCs w:val="32"/>
        </w:rPr>
        <w:t>加强新经济组织、新社会组织、新就业群体党的建设，做优“群蜂归巢”“红帆企航”“红社联动”党建品牌，提升社会工作者队伍专业化服务水平。加强社会组织培育管理，落实行业协会商会改革任务。提升志愿服务品质，深化“志愿‘坻’达服务如‘潮’”品牌建设。</w:t>
      </w:r>
      <w:r>
        <w:rPr>
          <w:rFonts w:cs="Times New Roman"/>
          <w:kern w:val="0"/>
          <w:szCs w:val="32"/>
        </w:rPr>
        <w:br w:type="page"/>
      </w:r>
    </w:p>
    <w:p w14:paraId="46971D01">
      <w:pPr>
        <w:pStyle w:val="2"/>
        <w:spacing w:after="435"/>
        <w:ind w:left="320" w:leftChars="100" w:right="320" w:rightChars="100"/>
        <w:rPr>
          <w:rStyle w:val="24"/>
          <w:rFonts w:ascii="宋体" w:hAnsi="宋体" w:cs="方正小标宋简体"/>
          <w:b w:val="0"/>
          <w:bCs w:val="0"/>
        </w:rPr>
      </w:pPr>
      <w:bookmarkStart w:id="250" w:name="_Toc219068763"/>
      <w:bookmarkStart w:id="251" w:name="_Hlk212315758"/>
      <w:r>
        <w:rPr>
          <w:rStyle w:val="24"/>
          <w:rFonts w:hint="eastAsia" w:ascii="宋体" w:hAnsi="宋体" w:cs="方正小标宋简体"/>
          <w:b w:val="0"/>
          <w:bCs w:val="0"/>
        </w:rPr>
        <w:t>第六篇</w:t>
      </w:r>
      <w:r>
        <w:rPr>
          <w:rStyle w:val="24"/>
          <w:rFonts w:ascii="宋体" w:hAnsi="宋体" w:cs="方正小标宋简体"/>
          <w:b w:val="0"/>
          <w:bCs w:val="0"/>
        </w:rPr>
        <w:t xml:space="preserve">  </w:t>
      </w:r>
      <w:r>
        <w:rPr>
          <w:rStyle w:val="24"/>
          <w:rFonts w:hint="eastAsia" w:ascii="宋体" w:hAnsi="宋体" w:cs="方正小标宋简体"/>
          <w:b w:val="0"/>
          <w:bCs w:val="0"/>
        </w:rPr>
        <w:t>凝心聚力推动高质量发展，为全面实现“十五五”规划而奋斗</w:t>
      </w:r>
      <w:bookmarkEnd w:id="250"/>
    </w:p>
    <w:bookmarkEnd w:id="251"/>
    <w:p w14:paraId="0BA152FC">
      <w:pPr>
        <w:pStyle w:val="3"/>
        <w:spacing w:before="435" w:after="435"/>
        <w:rPr>
          <w:rFonts w:ascii="宋体" w:hAnsi="宋体"/>
          <w:szCs w:val="32"/>
        </w:rPr>
      </w:pPr>
      <w:bookmarkStart w:id="252" w:name="_Toc219068764"/>
      <w:r>
        <w:rPr>
          <w:rFonts w:hint="eastAsia" w:ascii="宋体" w:hAnsi="宋体"/>
        </w:rPr>
        <w:t>第</w:t>
      </w:r>
      <w:bookmarkStart w:id="253" w:name="_Hlk212315749"/>
      <w:r>
        <w:rPr>
          <w:rFonts w:hint="eastAsia" w:ascii="宋体" w:hAnsi="宋体"/>
        </w:rPr>
        <w:t xml:space="preserve">十五章 </w:t>
      </w:r>
      <w:r>
        <w:rPr>
          <w:rFonts w:ascii="宋体" w:hAnsi="宋体"/>
        </w:rPr>
        <w:t xml:space="preserve"> </w:t>
      </w:r>
      <w:r>
        <w:rPr>
          <w:rFonts w:hint="eastAsia" w:ascii="宋体" w:hAnsi="宋体"/>
        </w:rPr>
        <w:t>发挥党建引领作用，健全规划实施保障</w:t>
      </w:r>
      <w:bookmarkEnd w:id="252"/>
      <w:bookmarkEnd w:id="253"/>
    </w:p>
    <w:p w14:paraId="2F32C5FB">
      <w:pPr>
        <w:pStyle w:val="20"/>
        <w:ind w:firstLine="640"/>
        <w:jc w:val="both"/>
        <w:rPr>
          <w:rFonts w:ascii="宋体" w:hAnsi="宋体" w:eastAsia="仿宋_GB2312" w:cs="仿宋_GB2312"/>
          <w:kern w:val="2"/>
          <w:sz w:val="32"/>
          <w:szCs w:val="32"/>
        </w:rPr>
      </w:pPr>
      <w:r>
        <w:rPr>
          <w:rFonts w:hint="eastAsia" w:ascii="宋体" w:hAnsi="宋体" w:eastAsia="仿宋_GB2312" w:cs="仿宋_GB2312"/>
          <w:kern w:val="2"/>
          <w:sz w:val="32"/>
          <w:szCs w:val="32"/>
        </w:rPr>
        <w:t>坚持以党的自我革命引领社会革命，增强党的政治领导力、思想引领力、群众组织力、社会号召力，为奋力谱写中国式现代化宝坻篇章凝聚磅礴力量。</w:t>
      </w:r>
    </w:p>
    <w:p w14:paraId="5D9C0025">
      <w:pPr>
        <w:pStyle w:val="4"/>
        <w:spacing w:before="217" w:after="217"/>
        <w:rPr>
          <w:rFonts w:ascii="宋体" w:hAnsi="宋体"/>
        </w:rPr>
      </w:pPr>
      <w:bookmarkStart w:id="254" w:name="_Toc219068765"/>
      <w:r>
        <w:rPr>
          <w:rFonts w:hint="eastAsia" w:ascii="宋体" w:hAnsi="宋体"/>
        </w:rPr>
        <w:t>第一节 坚持和加强党的全面领导</w:t>
      </w:r>
      <w:bookmarkEnd w:id="254"/>
    </w:p>
    <w:p w14:paraId="44C215A8">
      <w:pPr>
        <w:ind w:firstLine="640"/>
      </w:pPr>
      <w:r>
        <w:rPr>
          <w:rFonts w:hint="eastAsia"/>
        </w:rPr>
        <w:t>坚决维护党中央集中统一领导，深入学习贯彻习近平新时代中国特色社会主义思想，严格落实党委（党组）会议第一议题、集体学习第一主题、干部培训第一主课制度，持续用党的创新理论统一思想、统一意志、统一行动。完善贯彻落实习近平总书记重要指示批示和党中央重大决策部署制度机制，确保上下贯通、执行有力。健全和落实民主集中制，严格执行重大事项请示报告制度，加强调查研究，推进科学决策、民主决策、依法决策。严密党的组织体系，增强基层党组织的政治功能和组织功能，推动各层级各领域党组织全面过硬，充分发挥党员先锋模范作用。健全激励导向的综合评价和容错免责机制，锻造堪当现代化建设重任的高素质干部队伍。锲而不舍落实中央八项规定精神，推进作风建设常态化长效化，营造风清气正的政治生态。激发全社会干事创业、创新创造活力，广泛凝聚推动高质量发展的强大合力。</w:t>
      </w:r>
    </w:p>
    <w:p w14:paraId="793D7892">
      <w:pPr>
        <w:pStyle w:val="4"/>
        <w:spacing w:before="217" w:after="217"/>
        <w:rPr>
          <w:rFonts w:ascii="宋体" w:hAnsi="宋体"/>
        </w:rPr>
      </w:pPr>
      <w:bookmarkStart w:id="255" w:name="_Toc219068766"/>
      <w:r>
        <w:rPr>
          <w:rFonts w:hint="eastAsia" w:ascii="宋体" w:hAnsi="宋体"/>
        </w:rPr>
        <w:t>第二节 发挥规划战略导向作用</w:t>
      </w:r>
      <w:bookmarkEnd w:id="255"/>
    </w:p>
    <w:p w14:paraId="27ADDA9C">
      <w:pPr>
        <w:ind w:firstLine="640"/>
      </w:pPr>
      <w:r>
        <w:rPr>
          <w:rFonts w:hint="eastAsia"/>
        </w:rPr>
        <w:t>完善中长期经济社会发展规划制度，增强中长期社会经济发展规划对财政预算、国土开发、资源配置等政策措施的宏观引导、统筹协调功能，强化经济社会发展规划的统领作用、空间规划的基础作用、专项规划和区域规划的支撑作用，建立定位准确、边界清晰、功能互补、统一衔接的规划体系。建立健全规划衔接协调机制，确保各级各类规划协调一致。</w:t>
      </w:r>
    </w:p>
    <w:p w14:paraId="5FF3D5A4">
      <w:pPr>
        <w:pStyle w:val="4"/>
        <w:spacing w:before="217" w:after="217"/>
        <w:rPr>
          <w:rFonts w:ascii="宋体" w:hAnsi="宋体"/>
        </w:rPr>
      </w:pPr>
      <w:bookmarkStart w:id="256" w:name="_Toc219068767"/>
      <w:r>
        <w:rPr>
          <w:rFonts w:hint="eastAsia" w:ascii="宋体" w:hAnsi="宋体"/>
        </w:rPr>
        <w:t>第三节 加强要素资源支撑保障</w:t>
      </w:r>
      <w:bookmarkEnd w:id="256"/>
    </w:p>
    <w:p w14:paraId="3538BA36">
      <w:pPr>
        <w:ind w:firstLine="640"/>
        <w:rPr>
          <w:rFonts w:cs="仿宋_GB2312"/>
          <w:szCs w:val="32"/>
        </w:rPr>
      </w:pPr>
      <w:r>
        <w:rPr>
          <w:rFonts w:hint="eastAsia" w:cs="仿宋_GB2312"/>
          <w:szCs w:val="32"/>
        </w:rPr>
        <w:t>加强财政预算与规划实施的衔接协调，统筹财力可能合理安排财政支出规模和结构，区级财政性资金优先投向本规划确定的重大任务和工程项目。强化金融政策支撑，引导和鼓励金融机构重点支持本规划明确的重点领域和薄弱环节。强化项目支撑，围绕规划确定的目标任务、重点区域和生产力布局，集中组织实施一批重大工程项目。</w:t>
      </w:r>
    </w:p>
    <w:p w14:paraId="35F8CD7D">
      <w:pPr>
        <w:pStyle w:val="4"/>
        <w:spacing w:before="217" w:after="217"/>
        <w:rPr>
          <w:rFonts w:ascii="宋体" w:hAnsi="宋体"/>
        </w:rPr>
      </w:pPr>
      <w:bookmarkStart w:id="257" w:name="_Toc219068768"/>
      <w:r>
        <w:rPr>
          <w:rFonts w:hint="eastAsia" w:ascii="宋体" w:hAnsi="宋体" w:cstheme="minorBidi"/>
          <w:bCs/>
        </w:rPr>
        <w:t>第四节 完善规划实施机制</w:t>
      </w:r>
      <w:bookmarkEnd w:id="257"/>
    </w:p>
    <w:p w14:paraId="4613284F">
      <w:pPr>
        <w:ind w:firstLine="640"/>
        <w:rPr>
          <w:rFonts w:cs="仿宋_GB2312"/>
          <w:szCs w:val="32"/>
        </w:rPr>
      </w:pPr>
      <w:r>
        <w:rPr>
          <w:rFonts w:hint="eastAsia" w:eastAsia="楷体" w:cs="楷体"/>
          <w:szCs w:val="32"/>
        </w:rPr>
        <w:t>加强规划实施评估。</w:t>
      </w:r>
      <w:r>
        <w:rPr>
          <w:rFonts w:hint="eastAsia" w:cs="仿宋_GB2312"/>
          <w:szCs w:val="32"/>
        </w:rPr>
        <w:t>建立健全规划实施机制，落实规划责任，提高规划实施效能。完善监测评估制度，组织开展年度监测分析、中期评估和总结评估，强化监测评估结果应用。健全规划动态调整和修订机制，未经法定程序批准不得随意调整更改；经评估确需调整修订时，由区人民政府提出调整建议，经区委同意后，提请区人民代表大会常务委员会审查批准。</w:t>
      </w:r>
    </w:p>
    <w:p w14:paraId="063D3B73">
      <w:pPr>
        <w:ind w:firstLine="640"/>
        <w:rPr>
          <w:rFonts w:cs="仿宋_GB2312"/>
          <w:szCs w:val="32"/>
        </w:rPr>
      </w:pPr>
      <w:r>
        <w:rPr>
          <w:rFonts w:hint="eastAsia" w:eastAsia="楷体" w:cs="楷体"/>
          <w:szCs w:val="32"/>
        </w:rPr>
        <w:t>强化规划实施监督考核机制。</w:t>
      </w:r>
      <w:r>
        <w:rPr>
          <w:rFonts w:hint="eastAsia" w:cs="仿宋_GB2312"/>
          <w:szCs w:val="32"/>
        </w:rPr>
        <w:t>增强规划刚性约束，完善对规划主要指标的监测、统计、考核制度。强化规划实施监督，及时公布进展，畅通监督渠道。健全政府与企业、公众的信息沟通和反馈机制，最大限度凝聚共识，推动规划落地实施。</w:t>
      </w:r>
    </w:p>
    <w:sectPr>
      <w:footerReference r:id="rId13" w:type="default"/>
      <w:footerReference r:id="rId14" w:type="even"/>
      <w:pgSz w:w="11906" w:h="16838"/>
      <w:pgMar w:top="2098" w:right="1474" w:bottom="1984" w:left="1587" w:header="851" w:footer="992" w:gutter="0"/>
      <w:pgNumType w:start="1"/>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93C5527-817F-43F4-BC5C-94FD466C36E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D9BFC200-8111-45C1-A815-DA87D8002425}"/>
  </w:font>
  <w:font w:name="Mangal">
    <w:altName w:val="Courier New"/>
    <w:panose1 w:val="00000400000000000000"/>
    <w:charset w:val="01"/>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embedRegular r:id="rId3" w:fontKey="{DA5C6952-4922-45A3-986E-5336619CF2FF}"/>
  </w:font>
  <w:font w:name="Lohit Devanagari">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embedRegular r:id="rId4" w:fontKey="{0D7FB02C-46AB-498F-A7DB-D48F28911BDA}"/>
  </w:font>
  <w:font w:name="等线">
    <w:panose1 w:val="02010600030101010101"/>
    <w:charset w:val="86"/>
    <w:family w:val="auto"/>
    <w:pitch w:val="default"/>
    <w:sig w:usb0="A00002BF" w:usb1="38CF7CFA" w:usb2="00000016" w:usb3="00000000" w:csb0="0004000F" w:csb1="00000000"/>
    <w:embedRegular r:id="rId5" w:fontKey="{97330B31-1AD0-47E2-9DC5-CF2ECDB19521}"/>
  </w:font>
  <w:font w:name="方正小标宋简体">
    <w:panose1 w:val="02010601030101010101"/>
    <w:charset w:val="86"/>
    <w:family w:val="script"/>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6" w:fontKey="{2EB189D7-D78D-4193-8E88-FC1467FAA269}"/>
  </w:font>
  <w:font w:name="Segoe UI">
    <w:panose1 w:val="020B0502040204020203"/>
    <w:charset w:val="00"/>
    <w:family w:val="swiss"/>
    <w:pitch w:val="default"/>
    <w:sig w:usb0="E4002EFF" w:usb1="C000E47F" w:usb2="00000009" w:usb3="00000000" w:csb0="200001FF" w:csb1="00000000"/>
  </w:font>
  <w:font w:name="楷体_GB2312">
    <w:panose1 w:val="02010609030101010101"/>
    <w:charset w:val="86"/>
    <w:family w:val="modern"/>
    <w:pitch w:val="default"/>
    <w:sig w:usb0="00000001" w:usb1="080E0000" w:usb2="00000000" w:usb3="00000000" w:csb0="00040000" w:csb1="00000000"/>
    <w:embedRegular r:id="rId7" w:fontKey="{260E5C9C-8BB2-43E3-A695-141B355FF853}"/>
  </w:font>
  <w:font w:name="方正仿宋简体">
    <w:panose1 w:val="02000000000000000000"/>
    <w:charset w:val="86"/>
    <w:family w:val="script"/>
    <w:pitch w:val="default"/>
    <w:sig w:usb0="00000001" w:usb1="080E0000" w:usb2="00000000" w:usb3="00000000" w:csb0="00040000" w:csb1="00000000"/>
    <w:embedRegular r:id="rId8" w:fontKey="{9889F471-0665-43E7-890D-CC174F3EF6C7}"/>
  </w:font>
  <w:font w:name="方正仿宋_GB2312">
    <w:panose1 w:val="02000000000000000000"/>
    <w:charset w:val="86"/>
    <w:family w:val="auto"/>
    <w:pitch w:val="default"/>
    <w:sig w:usb0="A00002BF" w:usb1="184F6CFA" w:usb2="00000012" w:usb3="00000000" w:csb0="00040001" w:csb1="00000000"/>
    <w:embedRegular r:id="rId9" w:fontKey="{286F7AB6-3E56-43C8-A1BF-A143EC6B7680}"/>
  </w:font>
  <w:font w:name="方正仿宋_GBK">
    <w:panose1 w:val="03000509000000000000"/>
    <w:charset w:val="86"/>
    <w:family w:val="script"/>
    <w:pitch w:val="default"/>
    <w:sig w:usb0="00000001" w:usb1="080E0000" w:usb2="00000000" w:usb3="00000000" w:csb0="00040000" w:csb1="00000000"/>
    <w:embedRegular r:id="rId10" w:fontKey="{94871630-2559-463A-8C87-649F590BC1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E9631">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021BC">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81772">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4C96A">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B20B7">
    <w:pPr>
      <w:pStyle w:val="15"/>
      <w:ind w:firstLine="560"/>
      <w:rPr>
        <w:rFonts w:eastAsia="宋体" w:cs="宋体"/>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5E699">
    <w:pPr>
      <w:pStyle w:val="15"/>
      <w:ind w:right="227" w:firstLine="0" w:firstLineChars="0"/>
      <w:jc w:val="right"/>
      <w:rPr>
        <w:rFonts w:eastAsia="宋体" w:cs="宋体"/>
        <w:sz w:val="28"/>
        <w:szCs w:val="28"/>
      </w:rPr>
    </w:pPr>
    <w:r>
      <w:rPr>
        <w:rFonts w:hint="eastAsia" w:eastAsia="宋体" w:cs="宋体"/>
        <w:sz w:val="28"/>
        <w:szCs w:val="28"/>
      </w:rPr>
      <w:t xml:space="preserve">— </w:t>
    </w:r>
    <w:r>
      <w:rPr>
        <w:rFonts w:hint="eastAsia" w:eastAsia="宋体" w:cs="宋体"/>
        <w:sz w:val="28"/>
        <w:szCs w:val="28"/>
      </w:rPr>
      <w:fldChar w:fldCharType="begin"/>
    </w:r>
    <w:r>
      <w:rPr>
        <w:rFonts w:hint="eastAsia" w:eastAsia="宋体" w:cs="宋体"/>
        <w:sz w:val="28"/>
        <w:szCs w:val="28"/>
      </w:rPr>
      <w:instrText xml:space="preserve"> PAGE  \* MERGEFORMAT </w:instrText>
    </w:r>
    <w:r>
      <w:rPr>
        <w:rFonts w:hint="eastAsia" w:eastAsia="宋体" w:cs="宋体"/>
        <w:sz w:val="28"/>
        <w:szCs w:val="28"/>
      </w:rPr>
      <w:fldChar w:fldCharType="separate"/>
    </w:r>
    <w:r>
      <w:rPr>
        <w:rFonts w:eastAsia="宋体" w:cs="宋体"/>
        <w:sz w:val="28"/>
        <w:szCs w:val="28"/>
      </w:rPr>
      <w:t>9</w:t>
    </w:r>
    <w:r>
      <w:rPr>
        <w:rFonts w:hint="eastAsia" w:eastAsia="宋体" w:cs="宋体"/>
        <w:sz w:val="28"/>
        <w:szCs w:val="28"/>
      </w:rPr>
      <w:fldChar w:fldCharType="end"/>
    </w:r>
    <w:r>
      <w:rPr>
        <w:rFonts w:hint="eastAsia" w:eastAsia="宋体" w:cs="宋体"/>
        <w:sz w:val="28"/>
        <w:szCs w:val="2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1BF0B">
    <w:pPr>
      <w:pStyle w:val="15"/>
      <w:ind w:left="227" w:firstLine="0" w:firstLineChars="0"/>
      <w:rPr>
        <w:rFonts w:eastAsia="宋体" w:cs="宋体"/>
        <w:sz w:val="28"/>
        <w:szCs w:val="28"/>
      </w:rPr>
    </w:pPr>
    <w:r>
      <w:rPr>
        <w:rFonts w:hint="eastAsia" w:eastAsia="宋体" w:cs="宋体"/>
        <w:sz w:val="28"/>
        <w:szCs w:val="28"/>
      </w:rPr>
      <w:t xml:space="preserve">— </w:t>
    </w:r>
    <w:r>
      <w:rPr>
        <w:rFonts w:hint="eastAsia" w:eastAsia="宋体" w:cs="宋体"/>
        <w:sz w:val="28"/>
        <w:szCs w:val="28"/>
      </w:rPr>
      <w:fldChar w:fldCharType="begin"/>
    </w:r>
    <w:r>
      <w:rPr>
        <w:rFonts w:hint="eastAsia" w:eastAsia="宋体" w:cs="宋体"/>
        <w:sz w:val="28"/>
        <w:szCs w:val="28"/>
      </w:rPr>
      <w:instrText xml:space="preserve"> PAGE  \* MERGEFORMAT </w:instrText>
    </w:r>
    <w:r>
      <w:rPr>
        <w:rFonts w:hint="eastAsia" w:eastAsia="宋体" w:cs="宋体"/>
        <w:sz w:val="28"/>
        <w:szCs w:val="28"/>
      </w:rPr>
      <w:fldChar w:fldCharType="separate"/>
    </w:r>
    <w:r>
      <w:rPr>
        <w:rFonts w:eastAsia="宋体" w:cs="宋体"/>
        <w:sz w:val="28"/>
        <w:szCs w:val="28"/>
      </w:rPr>
      <w:t>8</w:t>
    </w:r>
    <w:r>
      <w:rPr>
        <w:rFonts w:hint="eastAsia" w:eastAsia="宋体" w:cs="宋体"/>
        <w:sz w:val="28"/>
        <w:szCs w:val="28"/>
      </w:rPr>
      <w:fldChar w:fldCharType="end"/>
    </w:r>
    <w:r>
      <w:rPr>
        <w:rFonts w:hint="eastAsia" w:eastAsia="宋体" w:cs="宋体"/>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6324F">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339FE">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8FCB0">
    <w:pPr>
      <w:pStyle w:val="1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trackRevisions w:val="1"/>
  <w:documentProtection w:enforcement="0"/>
  <w:defaultTabStop w:val="420"/>
  <w:evenAndOddHeaders w:val="1"/>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345"/>
    <w:rsid w:val="00001036"/>
    <w:rsid w:val="0000171F"/>
    <w:rsid w:val="0000218F"/>
    <w:rsid w:val="00003ABF"/>
    <w:rsid w:val="00004694"/>
    <w:rsid w:val="00007BE2"/>
    <w:rsid w:val="00010BDA"/>
    <w:rsid w:val="00010E9A"/>
    <w:rsid w:val="000116E1"/>
    <w:rsid w:val="00012431"/>
    <w:rsid w:val="000128A3"/>
    <w:rsid w:val="00014942"/>
    <w:rsid w:val="00015A37"/>
    <w:rsid w:val="00023F31"/>
    <w:rsid w:val="000247DB"/>
    <w:rsid w:val="00026156"/>
    <w:rsid w:val="00026388"/>
    <w:rsid w:val="000276E8"/>
    <w:rsid w:val="00032035"/>
    <w:rsid w:val="000330D6"/>
    <w:rsid w:val="00034379"/>
    <w:rsid w:val="00035B00"/>
    <w:rsid w:val="000360B1"/>
    <w:rsid w:val="00036DBF"/>
    <w:rsid w:val="000410A4"/>
    <w:rsid w:val="00043C50"/>
    <w:rsid w:val="00046659"/>
    <w:rsid w:val="00047A4C"/>
    <w:rsid w:val="000514E4"/>
    <w:rsid w:val="00051660"/>
    <w:rsid w:val="000534D7"/>
    <w:rsid w:val="000551CA"/>
    <w:rsid w:val="00056A65"/>
    <w:rsid w:val="000571A6"/>
    <w:rsid w:val="00062E4E"/>
    <w:rsid w:val="00064A6F"/>
    <w:rsid w:val="00064DAA"/>
    <w:rsid w:val="00064E6F"/>
    <w:rsid w:val="0006564B"/>
    <w:rsid w:val="00073DEB"/>
    <w:rsid w:val="00076904"/>
    <w:rsid w:val="0008307B"/>
    <w:rsid w:val="00084A33"/>
    <w:rsid w:val="000854E1"/>
    <w:rsid w:val="00085FC5"/>
    <w:rsid w:val="000949E8"/>
    <w:rsid w:val="00095A05"/>
    <w:rsid w:val="00097320"/>
    <w:rsid w:val="000974E6"/>
    <w:rsid w:val="000A0A73"/>
    <w:rsid w:val="000A3263"/>
    <w:rsid w:val="000A5659"/>
    <w:rsid w:val="000A6163"/>
    <w:rsid w:val="000A6B51"/>
    <w:rsid w:val="000B25D7"/>
    <w:rsid w:val="000B3263"/>
    <w:rsid w:val="000B3EA3"/>
    <w:rsid w:val="000B64C5"/>
    <w:rsid w:val="000B66EF"/>
    <w:rsid w:val="000B6AA9"/>
    <w:rsid w:val="000B701F"/>
    <w:rsid w:val="000B7113"/>
    <w:rsid w:val="000C05AC"/>
    <w:rsid w:val="000C0910"/>
    <w:rsid w:val="000C0981"/>
    <w:rsid w:val="000C1016"/>
    <w:rsid w:val="000C1F9B"/>
    <w:rsid w:val="000C32F1"/>
    <w:rsid w:val="000C36AF"/>
    <w:rsid w:val="000C48D1"/>
    <w:rsid w:val="000C5ECD"/>
    <w:rsid w:val="000C7B89"/>
    <w:rsid w:val="000D0C05"/>
    <w:rsid w:val="000D1CD7"/>
    <w:rsid w:val="000D2FC1"/>
    <w:rsid w:val="000D52E8"/>
    <w:rsid w:val="000E0AE2"/>
    <w:rsid w:val="000E3CE3"/>
    <w:rsid w:val="000E683F"/>
    <w:rsid w:val="000F0227"/>
    <w:rsid w:val="000F13B6"/>
    <w:rsid w:val="000F1DA2"/>
    <w:rsid w:val="000F37BE"/>
    <w:rsid w:val="000F3861"/>
    <w:rsid w:val="000F56B8"/>
    <w:rsid w:val="000F62C3"/>
    <w:rsid w:val="000F797B"/>
    <w:rsid w:val="00104830"/>
    <w:rsid w:val="001110E2"/>
    <w:rsid w:val="0011256B"/>
    <w:rsid w:val="001146C1"/>
    <w:rsid w:val="0011767A"/>
    <w:rsid w:val="00121DA3"/>
    <w:rsid w:val="00121E46"/>
    <w:rsid w:val="001225F6"/>
    <w:rsid w:val="00122DF9"/>
    <w:rsid w:val="00123318"/>
    <w:rsid w:val="00124F33"/>
    <w:rsid w:val="0012672E"/>
    <w:rsid w:val="001300A4"/>
    <w:rsid w:val="001308F2"/>
    <w:rsid w:val="00135D85"/>
    <w:rsid w:val="001364DB"/>
    <w:rsid w:val="001371C5"/>
    <w:rsid w:val="001404D6"/>
    <w:rsid w:val="001411FA"/>
    <w:rsid w:val="001429A5"/>
    <w:rsid w:val="001431AE"/>
    <w:rsid w:val="00146860"/>
    <w:rsid w:val="0014773C"/>
    <w:rsid w:val="00147896"/>
    <w:rsid w:val="0015063D"/>
    <w:rsid w:val="001526B7"/>
    <w:rsid w:val="00152EFE"/>
    <w:rsid w:val="0015435C"/>
    <w:rsid w:val="001544E7"/>
    <w:rsid w:val="00154C74"/>
    <w:rsid w:val="00155C86"/>
    <w:rsid w:val="00157105"/>
    <w:rsid w:val="00161DB9"/>
    <w:rsid w:val="001638C6"/>
    <w:rsid w:val="00165ED8"/>
    <w:rsid w:val="001666CD"/>
    <w:rsid w:val="00172A1A"/>
    <w:rsid w:val="00172A8E"/>
    <w:rsid w:val="00172D94"/>
    <w:rsid w:val="00172FC2"/>
    <w:rsid w:val="0017383A"/>
    <w:rsid w:val="0018270D"/>
    <w:rsid w:val="00183115"/>
    <w:rsid w:val="00183D56"/>
    <w:rsid w:val="001840FD"/>
    <w:rsid w:val="00191A86"/>
    <w:rsid w:val="0019489F"/>
    <w:rsid w:val="00196FB4"/>
    <w:rsid w:val="00197793"/>
    <w:rsid w:val="001A08DA"/>
    <w:rsid w:val="001A0E00"/>
    <w:rsid w:val="001A2D7C"/>
    <w:rsid w:val="001A34D4"/>
    <w:rsid w:val="001A4749"/>
    <w:rsid w:val="001A7035"/>
    <w:rsid w:val="001B0575"/>
    <w:rsid w:val="001B2328"/>
    <w:rsid w:val="001C0A88"/>
    <w:rsid w:val="001C0BBB"/>
    <w:rsid w:val="001C31E8"/>
    <w:rsid w:val="001C3591"/>
    <w:rsid w:val="001C42BA"/>
    <w:rsid w:val="001C513D"/>
    <w:rsid w:val="001C5DE7"/>
    <w:rsid w:val="001C60EA"/>
    <w:rsid w:val="001C7499"/>
    <w:rsid w:val="001C7FE0"/>
    <w:rsid w:val="001D2261"/>
    <w:rsid w:val="001D3A47"/>
    <w:rsid w:val="001D4B10"/>
    <w:rsid w:val="001D622A"/>
    <w:rsid w:val="001D66FB"/>
    <w:rsid w:val="001D67C6"/>
    <w:rsid w:val="001E22C2"/>
    <w:rsid w:val="001E3F31"/>
    <w:rsid w:val="001E5956"/>
    <w:rsid w:val="001E5DA1"/>
    <w:rsid w:val="001E725B"/>
    <w:rsid w:val="001F243A"/>
    <w:rsid w:val="001F2E48"/>
    <w:rsid w:val="001F3B8A"/>
    <w:rsid w:val="001F7992"/>
    <w:rsid w:val="0020045A"/>
    <w:rsid w:val="002011C2"/>
    <w:rsid w:val="0020159B"/>
    <w:rsid w:val="00203C97"/>
    <w:rsid w:val="002069B6"/>
    <w:rsid w:val="00206FB3"/>
    <w:rsid w:val="002128F7"/>
    <w:rsid w:val="00213455"/>
    <w:rsid w:val="002136F8"/>
    <w:rsid w:val="0021635F"/>
    <w:rsid w:val="00216DFE"/>
    <w:rsid w:val="00221220"/>
    <w:rsid w:val="00226C1D"/>
    <w:rsid w:val="002272CC"/>
    <w:rsid w:val="00230D5B"/>
    <w:rsid w:val="00231467"/>
    <w:rsid w:val="0023269B"/>
    <w:rsid w:val="002328BA"/>
    <w:rsid w:val="002337BF"/>
    <w:rsid w:val="00233802"/>
    <w:rsid w:val="0023428C"/>
    <w:rsid w:val="0023695C"/>
    <w:rsid w:val="00242D07"/>
    <w:rsid w:val="00246CE8"/>
    <w:rsid w:val="0025085B"/>
    <w:rsid w:val="002518C6"/>
    <w:rsid w:val="002527AE"/>
    <w:rsid w:val="0025646C"/>
    <w:rsid w:val="002577BF"/>
    <w:rsid w:val="002611D1"/>
    <w:rsid w:val="002621A8"/>
    <w:rsid w:val="00262FF2"/>
    <w:rsid w:val="00267398"/>
    <w:rsid w:val="00271C60"/>
    <w:rsid w:val="0027204B"/>
    <w:rsid w:val="00272B8E"/>
    <w:rsid w:val="002730EF"/>
    <w:rsid w:val="0027549A"/>
    <w:rsid w:val="00275EEC"/>
    <w:rsid w:val="00276542"/>
    <w:rsid w:val="002778CC"/>
    <w:rsid w:val="00281855"/>
    <w:rsid w:val="0028268A"/>
    <w:rsid w:val="002836D5"/>
    <w:rsid w:val="00283FFE"/>
    <w:rsid w:val="00284D5E"/>
    <w:rsid w:val="00285689"/>
    <w:rsid w:val="002858D5"/>
    <w:rsid w:val="00286EDD"/>
    <w:rsid w:val="0028723A"/>
    <w:rsid w:val="0029329B"/>
    <w:rsid w:val="002954E2"/>
    <w:rsid w:val="00297305"/>
    <w:rsid w:val="002A412B"/>
    <w:rsid w:val="002A64F4"/>
    <w:rsid w:val="002A6575"/>
    <w:rsid w:val="002B19F1"/>
    <w:rsid w:val="002B3398"/>
    <w:rsid w:val="002B40B4"/>
    <w:rsid w:val="002B4AA0"/>
    <w:rsid w:val="002B680B"/>
    <w:rsid w:val="002B7979"/>
    <w:rsid w:val="002C3A7A"/>
    <w:rsid w:val="002C3B8B"/>
    <w:rsid w:val="002C5B61"/>
    <w:rsid w:val="002C5E68"/>
    <w:rsid w:val="002C6619"/>
    <w:rsid w:val="002C708C"/>
    <w:rsid w:val="002C7A3B"/>
    <w:rsid w:val="002C7ED3"/>
    <w:rsid w:val="002D1963"/>
    <w:rsid w:val="002D1A04"/>
    <w:rsid w:val="002D2133"/>
    <w:rsid w:val="002D6095"/>
    <w:rsid w:val="002D7274"/>
    <w:rsid w:val="002D7E71"/>
    <w:rsid w:val="002E2495"/>
    <w:rsid w:val="002E49DB"/>
    <w:rsid w:val="002E5CD3"/>
    <w:rsid w:val="002E68F1"/>
    <w:rsid w:val="002E7862"/>
    <w:rsid w:val="002E7A0F"/>
    <w:rsid w:val="002F543B"/>
    <w:rsid w:val="002F636E"/>
    <w:rsid w:val="002F64A9"/>
    <w:rsid w:val="00301F2C"/>
    <w:rsid w:val="00304E2E"/>
    <w:rsid w:val="00307418"/>
    <w:rsid w:val="00310019"/>
    <w:rsid w:val="0031378B"/>
    <w:rsid w:val="00314D39"/>
    <w:rsid w:val="00316094"/>
    <w:rsid w:val="0031731E"/>
    <w:rsid w:val="0032010A"/>
    <w:rsid w:val="003210F1"/>
    <w:rsid w:val="003227E5"/>
    <w:rsid w:val="00322E10"/>
    <w:rsid w:val="00332342"/>
    <w:rsid w:val="003368EE"/>
    <w:rsid w:val="00337586"/>
    <w:rsid w:val="00337F11"/>
    <w:rsid w:val="00343246"/>
    <w:rsid w:val="00344C58"/>
    <w:rsid w:val="00346671"/>
    <w:rsid w:val="0035267E"/>
    <w:rsid w:val="00352D11"/>
    <w:rsid w:val="00353898"/>
    <w:rsid w:val="003556D8"/>
    <w:rsid w:val="003557D2"/>
    <w:rsid w:val="00357137"/>
    <w:rsid w:val="003577CD"/>
    <w:rsid w:val="00362A7E"/>
    <w:rsid w:val="00364F6D"/>
    <w:rsid w:val="00365EDD"/>
    <w:rsid w:val="00365EF2"/>
    <w:rsid w:val="00365FD7"/>
    <w:rsid w:val="00366926"/>
    <w:rsid w:val="00372404"/>
    <w:rsid w:val="003725E5"/>
    <w:rsid w:val="00376021"/>
    <w:rsid w:val="00381590"/>
    <w:rsid w:val="00381E8D"/>
    <w:rsid w:val="00383C5E"/>
    <w:rsid w:val="00386097"/>
    <w:rsid w:val="003965D0"/>
    <w:rsid w:val="003968FE"/>
    <w:rsid w:val="003A0391"/>
    <w:rsid w:val="003A0701"/>
    <w:rsid w:val="003A25E6"/>
    <w:rsid w:val="003A4182"/>
    <w:rsid w:val="003A5380"/>
    <w:rsid w:val="003B5D37"/>
    <w:rsid w:val="003B6851"/>
    <w:rsid w:val="003B7B73"/>
    <w:rsid w:val="003C04B5"/>
    <w:rsid w:val="003C5A6A"/>
    <w:rsid w:val="003C79C8"/>
    <w:rsid w:val="003C7CB5"/>
    <w:rsid w:val="003D00B5"/>
    <w:rsid w:val="003D0F48"/>
    <w:rsid w:val="003D1D85"/>
    <w:rsid w:val="003D2986"/>
    <w:rsid w:val="003D3984"/>
    <w:rsid w:val="003D468F"/>
    <w:rsid w:val="003D48A5"/>
    <w:rsid w:val="003D5CB8"/>
    <w:rsid w:val="003E2322"/>
    <w:rsid w:val="003E2A99"/>
    <w:rsid w:val="003E3B1C"/>
    <w:rsid w:val="003F2517"/>
    <w:rsid w:val="003F4647"/>
    <w:rsid w:val="003F6F3A"/>
    <w:rsid w:val="004038A9"/>
    <w:rsid w:val="004040C8"/>
    <w:rsid w:val="00404563"/>
    <w:rsid w:val="004050B9"/>
    <w:rsid w:val="00413F8D"/>
    <w:rsid w:val="00416D95"/>
    <w:rsid w:val="00426361"/>
    <w:rsid w:val="00430306"/>
    <w:rsid w:val="0043039E"/>
    <w:rsid w:val="0043054F"/>
    <w:rsid w:val="00430EBF"/>
    <w:rsid w:val="00431C2F"/>
    <w:rsid w:val="00434B82"/>
    <w:rsid w:val="00434ED0"/>
    <w:rsid w:val="004362F6"/>
    <w:rsid w:val="00440919"/>
    <w:rsid w:val="00440C3D"/>
    <w:rsid w:val="00440CE9"/>
    <w:rsid w:val="00441429"/>
    <w:rsid w:val="00444399"/>
    <w:rsid w:val="0044625C"/>
    <w:rsid w:val="00446E59"/>
    <w:rsid w:val="00450A80"/>
    <w:rsid w:val="00451077"/>
    <w:rsid w:val="004518EA"/>
    <w:rsid w:val="00455685"/>
    <w:rsid w:val="004560F0"/>
    <w:rsid w:val="00457043"/>
    <w:rsid w:val="0046013A"/>
    <w:rsid w:val="00462299"/>
    <w:rsid w:val="004664EC"/>
    <w:rsid w:val="004672DE"/>
    <w:rsid w:val="0047016C"/>
    <w:rsid w:val="004701A5"/>
    <w:rsid w:val="00471AB2"/>
    <w:rsid w:val="0047373A"/>
    <w:rsid w:val="00477655"/>
    <w:rsid w:val="00477B6E"/>
    <w:rsid w:val="004805A5"/>
    <w:rsid w:val="004808EA"/>
    <w:rsid w:val="00482518"/>
    <w:rsid w:val="004841D0"/>
    <w:rsid w:val="0048431C"/>
    <w:rsid w:val="00486014"/>
    <w:rsid w:val="0049311D"/>
    <w:rsid w:val="00493D97"/>
    <w:rsid w:val="004957D1"/>
    <w:rsid w:val="004A003A"/>
    <w:rsid w:val="004A27B3"/>
    <w:rsid w:val="004A5373"/>
    <w:rsid w:val="004A58F0"/>
    <w:rsid w:val="004A5E4E"/>
    <w:rsid w:val="004B0E20"/>
    <w:rsid w:val="004B2C7A"/>
    <w:rsid w:val="004B45D9"/>
    <w:rsid w:val="004B496C"/>
    <w:rsid w:val="004B5632"/>
    <w:rsid w:val="004B564C"/>
    <w:rsid w:val="004C09A6"/>
    <w:rsid w:val="004C09C1"/>
    <w:rsid w:val="004C5576"/>
    <w:rsid w:val="004C558B"/>
    <w:rsid w:val="004C6269"/>
    <w:rsid w:val="004C638C"/>
    <w:rsid w:val="004C69E6"/>
    <w:rsid w:val="004C6D11"/>
    <w:rsid w:val="004C75CD"/>
    <w:rsid w:val="004C7E78"/>
    <w:rsid w:val="004D456B"/>
    <w:rsid w:val="004D62F9"/>
    <w:rsid w:val="004E0E1B"/>
    <w:rsid w:val="004E116A"/>
    <w:rsid w:val="004E1461"/>
    <w:rsid w:val="004E2627"/>
    <w:rsid w:val="004E6A73"/>
    <w:rsid w:val="004E7AF9"/>
    <w:rsid w:val="004F0705"/>
    <w:rsid w:val="004F413F"/>
    <w:rsid w:val="004F429F"/>
    <w:rsid w:val="004F4B92"/>
    <w:rsid w:val="004F6F64"/>
    <w:rsid w:val="0050107B"/>
    <w:rsid w:val="00501095"/>
    <w:rsid w:val="00501596"/>
    <w:rsid w:val="0050239A"/>
    <w:rsid w:val="00502C47"/>
    <w:rsid w:val="00506EF7"/>
    <w:rsid w:val="005078A5"/>
    <w:rsid w:val="0051091A"/>
    <w:rsid w:val="005114B3"/>
    <w:rsid w:val="005116A6"/>
    <w:rsid w:val="00513292"/>
    <w:rsid w:val="005133D7"/>
    <w:rsid w:val="00514E91"/>
    <w:rsid w:val="00517E28"/>
    <w:rsid w:val="0052162F"/>
    <w:rsid w:val="0052310E"/>
    <w:rsid w:val="005242D7"/>
    <w:rsid w:val="005268DA"/>
    <w:rsid w:val="00527B64"/>
    <w:rsid w:val="005300F9"/>
    <w:rsid w:val="00531171"/>
    <w:rsid w:val="00535E2E"/>
    <w:rsid w:val="00543597"/>
    <w:rsid w:val="00543874"/>
    <w:rsid w:val="00543D2C"/>
    <w:rsid w:val="0054558D"/>
    <w:rsid w:val="0054653C"/>
    <w:rsid w:val="00546B19"/>
    <w:rsid w:val="00552564"/>
    <w:rsid w:val="00552B75"/>
    <w:rsid w:val="005543DB"/>
    <w:rsid w:val="0055459A"/>
    <w:rsid w:val="00555080"/>
    <w:rsid w:val="005574A5"/>
    <w:rsid w:val="00557955"/>
    <w:rsid w:val="00560005"/>
    <w:rsid w:val="0056554A"/>
    <w:rsid w:val="005703B5"/>
    <w:rsid w:val="005704A4"/>
    <w:rsid w:val="0057119F"/>
    <w:rsid w:val="00572050"/>
    <w:rsid w:val="005747B0"/>
    <w:rsid w:val="00575585"/>
    <w:rsid w:val="00576C34"/>
    <w:rsid w:val="00577E97"/>
    <w:rsid w:val="005804EA"/>
    <w:rsid w:val="00580546"/>
    <w:rsid w:val="00580C88"/>
    <w:rsid w:val="00590196"/>
    <w:rsid w:val="00590739"/>
    <w:rsid w:val="00590D12"/>
    <w:rsid w:val="00592D63"/>
    <w:rsid w:val="00592E85"/>
    <w:rsid w:val="00594401"/>
    <w:rsid w:val="00594C62"/>
    <w:rsid w:val="00596C0D"/>
    <w:rsid w:val="005A15A1"/>
    <w:rsid w:val="005A205F"/>
    <w:rsid w:val="005A32FA"/>
    <w:rsid w:val="005A3DFC"/>
    <w:rsid w:val="005A62E4"/>
    <w:rsid w:val="005A64B6"/>
    <w:rsid w:val="005A7568"/>
    <w:rsid w:val="005B0612"/>
    <w:rsid w:val="005B116E"/>
    <w:rsid w:val="005B497E"/>
    <w:rsid w:val="005B79E4"/>
    <w:rsid w:val="005B7CAE"/>
    <w:rsid w:val="005C17AA"/>
    <w:rsid w:val="005C445B"/>
    <w:rsid w:val="005C4D18"/>
    <w:rsid w:val="005C573A"/>
    <w:rsid w:val="005C69CF"/>
    <w:rsid w:val="005C6DA5"/>
    <w:rsid w:val="005D055D"/>
    <w:rsid w:val="005D48F2"/>
    <w:rsid w:val="005D4E20"/>
    <w:rsid w:val="005D53F4"/>
    <w:rsid w:val="005D646F"/>
    <w:rsid w:val="005D7945"/>
    <w:rsid w:val="005E0466"/>
    <w:rsid w:val="005E42D6"/>
    <w:rsid w:val="005E5873"/>
    <w:rsid w:val="005F0074"/>
    <w:rsid w:val="005F0308"/>
    <w:rsid w:val="005F3630"/>
    <w:rsid w:val="005F63E5"/>
    <w:rsid w:val="00606A72"/>
    <w:rsid w:val="00606E14"/>
    <w:rsid w:val="00610C31"/>
    <w:rsid w:val="00612446"/>
    <w:rsid w:val="00616E4F"/>
    <w:rsid w:val="0061707D"/>
    <w:rsid w:val="00620DD5"/>
    <w:rsid w:val="0062391C"/>
    <w:rsid w:val="00625076"/>
    <w:rsid w:val="006250F4"/>
    <w:rsid w:val="00625307"/>
    <w:rsid w:val="00627D12"/>
    <w:rsid w:val="00631B02"/>
    <w:rsid w:val="006328B9"/>
    <w:rsid w:val="006405ED"/>
    <w:rsid w:val="00642EBA"/>
    <w:rsid w:val="006503EE"/>
    <w:rsid w:val="00653E7D"/>
    <w:rsid w:val="006548F7"/>
    <w:rsid w:val="00654C7F"/>
    <w:rsid w:val="00654E97"/>
    <w:rsid w:val="00656C1D"/>
    <w:rsid w:val="00662AE0"/>
    <w:rsid w:val="00663229"/>
    <w:rsid w:val="0066331B"/>
    <w:rsid w:val="00665550"/>
    <w:rsid w:val="00665985"/>
    <w:rsid w:val="0067561E"/>
    <w:rsid w:val="00676CD8"/>
    <w:rsid w:val="00681D39"/>
    <w:rsid w:val="0068333A"/>
    <w:rsid w:val="00684066"/>
    <w:rsid w:val="0068432C"/>
    <w:rsid w:val="00684D4A"/>
    <w:rsid w:val="00692209"/>
    <w:rsid w:val="0069331B"/>
    <w:rsid w:val="00693852"/>
    <w:rsid w:val="00694BD5"/>
    <w:rsid w:val="006957F2"/>
    <w:rsid w:val="006A01C4"/>
    <w:rsid w:val="006A0339"/>
    <w:rsid w:val="006A453B"/>
    <w:rsid w:val="006A490E"/>
    <w:rsid w:val="006A5F1E"/>
    <w:rsid w:val="006A6E81"/>
    <w:rsid w:val="006B0E7B"/>
    <w:rsid w:val="006B29D5"/>
    <w:rsid w:val="006B6008"/>
    <w:rsid w:val="006C156D"/>
    <w:rsid w:val="006C3976"/>
    <w:rsid w:val="006C4881"/>
    <w:rsid w:val="006C49F7"/>
    <w:rsid w:val="006C5E62"/>
    <w:rsid w:val="006C7716"/>
    <w:rsid w:val="006C7DC7"/>
    <w:rsid w:val="006D1769"/>
    <w:rsid w:val="006D201A"/>
    <w:rsid w:val="006D2E25"/>
    <w:rsid w:val="006D2F45"/>
    <w:rsid w:val="006D2F58"/>
    <w:rsid w:val="006D41C8"/>
    <w:rsid w:val="006D45A1"/>
    <w:rsid w:val="006D51F6"/>
    <w:rsid w:val="006D5438"/>
    <w:rsid w:val="006D5AFA"/>
    <w:rsid w:val="006E062D"/>
    <w:rsid w:val="006E2A6A"/>
    <w:rsid w:val="006E36AA"/>
    <w:rsid w:val="006E5C65"/>
    <w:rsid w:val="006E6A41"/>
    <w:rsid w:val="006E6A95"/>
    <w:rsid w:val="006F4F52"/>
    <w:rsid w:val="006F502E"/>
    <w:rsid w:val="006F76C0"/>
    <w:rsid w:val="006F78CF"/>
    <w:rsid w:val="00700E83"/>
    <w:rsid w:val="00701A76"/>
    <w:rsid w:val="00703424"/>
    <w:rsid w:val="007038DA"/>
    <w:rsid w:val="00704099"/>
    <w:rsid w:val="007046CC"/>
    <w:rsid w:val="0070530C"/>
    <w:rsid w:val="00706A41"/>
    <w:rsid w:val="00707E43"/>
    <w:rsid w:val="00714C41"/>
    <w:rsid w:val="007154CA"/>
    <w:rsid w:val="00715ACD"/>
    <w:rsid w:val="0072096F"/>
    <w:rsid w:val="00722375"/>
    <w:rsid w:val="007228B8"/>
    <w:rsid w:val="00725575"/>
    <w:rsid w:val="00725E37"/>
    <w:rsid w:val="00726266"/>
    <w:rsid w:val="0072786E"/>
    <w:rsid w:val="0073030F"/>
    <w:rsid w:val="00730888"/>
    <w:rsid w:val="00731C3B"/>
    <w:rsid w:val="00732244"/>
    <w:rsid w:val="00733ABC"/>
    <w:rsid w:val="00735A7B"/>
    <w:rsid w:val="00736389"/>
    <w:rsid w:val="00736BE6"/>
    <w:rsid w:val="007374DC"/>
    <w:rsid w:val="00741E67"/>
    <w:rsid w:val="00742EE1"/>
    <w:rsid w:val="00744055"/>
    <w:rsid w:val="007443BE"/>
    <w:rsid w:val="007449B9"/>
    <w:rsid w:val="00745DDD"/>
    <w:rsid w:val="00746024"/>
    <w:rsid w:val="007471AE"/>
    <w:rsid w:val="007506D2"/>
    <w:rsid w:val="0075385B"/>
    <w:rsid w:val="00753C34"/>
    <w:rsid w:val="00755D71"/>
    <w:rsid w:val="00762CFF"/>
    <w:rsid w:val="0076345C"/>
    <w:rsid w:val="00763EA2"/>
    <w:rsid w:val="007642BE"/>
    <w:rsid w:val="0077104B"/>
    <w:rsid w:val="0077304E"/>
    <w:rsid w:val="007738D3"/>
    <w:rsid w:val="00773F3D"/>
    <w:rsid w:val="007768CC"/>
    <w:rsid w:val="00776D8D"/>
    <w:rsid w:val="007802EA"/>
    <w:rsid w:val="00790C68"/>
    <w:rsid w:val="007918CF"/>
    <w:rsid w:val="007925F5"/>
    <w:rsid w:val="00792AB4"/>
    <w:rsid w:val="00792E89"/>
    <w:rsid w:val="00793D97"/>
    <w:rsid w:val="007962D7"/>
    <w:rsid w:val="007A5262"/>
    <w:rsid w:val="007A55E3"/>
    <w:rsid w:val="007B0761"/>
    <w:rsid w:val="007B4C52"/>
    <w:rsid w:val="007B6B5F"/>
    <w:rsid w:val="007C3CE5"/>
    <w:rsid w:val="007C4276"/>
    <w:rsid w:val="007C5C5B"/>
    <w:rsid w:val="007C5F45"/>
    <w:rsid w:val="007C6B0E"/>
    <w:rsid w:val="007D0CD4"/>
    <w:rsid w:val="007D4923"/>
    <w:rsid w:val="007D4DA5"/>
    <w:rsid w:val="007D5758"/>
    <w:rsid w:val="007D5C1A"/>
    <w:rsid w:val="007D60FB"/>
    <w:rsid w:val="007E0101"/>
    <w:rsid w:val="007E0AE0"/>
    <w:rsid w:val="007E161E"/>
    <w:rsid w:val="007E210C"/>
    <w:rsid w:val="007E34F5"/>
    <w:rsid w:val="007E4D8E"/>
    <w:rsid w:val="007E5A4C"/>
    <w:rsid w:val="007E5BB2"/>
    <w:rsid w:val="007F3667"/>
    <w:rsid w:val="007F6462"/>
    <w:rsid w:val="0080000D"/>
    <w:rsid w:val="008002F2"/>
    <w:rsid w:val="008016A4"/>
    <w:rsid w:val="008019EC"/>
    <w:rsid w:val="00802235"/>
    <w:rsid w:val="008024D7"/>
    <w:rsid w:val="00807C9B"/>
    <w:rsid w:val="00810E97"/>
    <w:rsid w:val="00811403"/>
    <w:rsid w:val="00812686"/>
    <w:rsid w:val="008136D1"/>
    <w:rsid w:val="008146DB"/>
    <w:rsid w:val="00814739"/>
    <w:rsid w:val="00814DA0"/>
    <w:rsid w:val="008172DE"/>
    <w:rsid w:val="008174D3"/>
    <w:rsid w:val="00823936"/>
    <w:rsid w:val="00824CCD"/>
    <w:rsid w:val="00825CCE"/>
    <w:rsid w:val="0083215C"/>
    <w:rsid w:val="00832DCE"/>
    <w:rsid w:val="008333DA"/>
    <w:rsid w:val="008408A0"/>
    <w:rsid w:val="008454EC"/>
    <w:rsid w:val="00845963"/>
    <w:rsid w:val="00846E1A"/>
    <w:rsid w:val="00847EEA"/>
    <w:rsid w:val="00850534"/>
    <w:rsid w:val="00852719"/>
    <w:rsid w:val="008531E2"/>
    <w:rsid w:val="00854989"/>
    <w:rsid w:val="00855037"/>
    <w:rsid w:val="00856637"/>
    <w:rsid w:val="00857E63"/>
    <w:rsid w:val="00857EA0"/>
    <w:rsid w:val="00861D78"/>
    <w:rsid w:val="00862215"/>
    <w:rsid w:val="0086275E"/>
    <w:rsid w:val="00864EAA"/>
    <w:rsid w:val="00865A7D"/>
    <w:rsid w:val="008668AD"/>
    <w:rsid w:val="00867754"/>
    <w:rsid w:val="00872D22"/>
    <w:rsid w:val="00873345"/>
    <w:rsid w:val="00873755"/>
    <w:rsid w:val="00875D0F"/>
    <w:rsid w:val="008805D2"/>
    <w:rsid w:val="00882F73"/>
    <w:rsid w:val="008836B8"/>
    <w:rsid w:val="008846D9"/>
    <w:rsid w:val="00884AB5"/>
    <w:rsid w:val="00885DE1"/>
    <w:rsid w:val="00886711"/>
    <w:rsid w:val="0088783D"/>
    <w:rsid w:val="00890719"/>
    <w:rsid w:val="008908AB"/>
    <w:rsid w:val="0089569F"/>
    <w:rsid w:val="008957EE"/>
    <w:rsid w:val="00895D47"/>
    <w:rsid w:val="008A0B66"/>
    <w:rsid w:val="008A2A33"/>
    <w:rsid w:val="008A3778"/>
    <w:rsid w:val="008A3B7A"/>
    <w:rsid w:val="008A5B83"/>
    <w:rsid w:val="008A74B7"/>
    <w:rsid w:val="008C3848"/>
    <w:rsid w:val="008D1470"/>
    <w:rsid w:val="008D3A23"/>
    <w:rsid w:val="008D4B44"/>
    <w:rsid w:val="008D5742"/>
    <w:rsid w:val="008D58F1"/>
    <w:rsid w:val="008D680D"/>
    <w:rsid w:val="008E07EA"/>
    <w:rsid w:val="008E4141"/>
    <w:rsid w:val="008E4146"/>
    <w:rsid w:val="008E5117"/>
    <w:rsid w:val="008E665D"/>
    <w:rsid w:val="008E7665"/>
    <w:rsid w:val="008F3998"/>
    <w:rsid w:val="008F5D10"/>
    <w:rsid w:val="00901455"/>
    <w:rsid w:val="0090234B"/>
    <w:rsid w:val="0090248F"/>
    <w:rsid w:val="009033FD"/>
    <w:rsid w:val="00903E73"/>
    <w:rsid w:val="00904818"/>
    <w:rsid w:val="009049F3"/>
    <w:rsid w:val="0090502F"/>
    <w:rsid w:val="009051FC"/>
    <w:rsid w:val="009055D0"/>
    <w:rsid w:val="00905EAD"/>
    <w:rsid w:val="00906454"/>
    <w:rsid w:val="0091145B"/>
    <w:rsid w:val="00912421"/>
    <w:rsid w:val="00912F75"/>
    <w:rsid w:val="00913416"/>
    <w:rsid w:val="00914BE9"/>
    <w:rsid w:val="00920173"/>
    <w:rsid w:val="00920729"/>
    <w:rsid w:val="00920C45"/>
    <w:rsid w:val="009214B4"/>
    <w:rsid w:val="00922295"/>
    <w:rsid w:val="009224DD"/>
    <w:rsid w:val="009233F2"/>
    <w:rsid w:val="00924825"/>
    <w:rsid w:val="009252E0"/>
    <w:rsid w:val="0092592B"/>
    <w:rsid w:val="00930BB1"/>
    <w:rsid w:val="00931D29"/>
    <w:rsid w:val="00934B7F"/>
    <w:rsid w:val="00935950"/>
    <w:rsid w:val="00937C65"/>
    <w:rsid w:val="00941ABF"/>
    <w:rsid w:val="00942D59"/>
    <w:rsid w:val="00946176"/>
    <w:rsid w:val="00947F6B"/>
    <w:rsid w:val="00951C4F"/>
    <w:rsid w:val="00955D5F"/>
    <w:rsid w:val="009574BF"/>
    <w:rsid w:val="0096028E"/>
    <w:rsid w:val="00960D0F"/>
    <w:rsid w:val="00962CAD"/>
    <w:rsid w:val="00965FD6"/>
    <w:rsid w:val="00967C3B"/>
    <w:rsid w:val="00967D39"/>
    <w:rsid w:val="0097308E"/>
    <w:rsid w:val="00976DED"/>
    <w:rsid w:val="00977FB0"/>
    <w:rsid w:val="009800D3"/>
    <w:rsid w:val="009848BB"/>
    <w:rsid w:val="00984EE0"/>
    <w:rsid w:val="00985F92"/>
    <w:rsid w:val="00986933"/>
    <w:rsid w:val="0098740B"/>
    <w:rsid w:val="009874A1"/>
    <w:rsid w:val="00987E5B"/>
    <w:rsid w:val="00995CEE"/>
    <w:rsid w:val="00997834"/>
    <w:rsid w:val="009A13AB"/>
    <w:rsid w:val="009A2280"/>
    <w:rsid w:val="009A372E"/>
    <w:rsid w:val="009A5417"/>
    <w:rsid w:val="009A568D"/>
    <w:rsid w:val="009A6816"/>
    <w:rsid w:val="009A6EA9"/>
    <w:rsid w:val="009B0B2E"/>
    <w:rsid w:val="009B19B8"/>
    <w:rsid w:val="009B1A2C"/>
    <w:rsid w:val="009B1DD0"/>
    <w:rsid w:val="009B223E"/>
    <w:rsid w:val="009B3EE4"/>
    <w:rsid w:val="009B4949"/>
    <w:rsid w:val="009B4DDE"/>
    <w:rsid w:val="009B5F99"/>
    <w:rsid w:val="009B6534"/>
    <w:rsid w:val="009C236F"/>
    <w:rsid w:val="009C39B3"/>
    <w:rsid w:val="009C581E"/>
    <w:rsid w:val="009C5BAD"/>
    <w:rsid w:val="009C5C8D"/>
    <w:rsid w:val="009C75B8"/>
    <w:rsid w:val="009D0578"/>
    <w:rsid w:val="009D2C2E"/>
    <w:rsid w:val="009D689A"/>
    <w:rsid w:val="009D7E61"/>
    <w:rsid w:val="009E0C0A"/>
    <w:rsid w:val="009E21E5"/>
    <w:rsid w:val="009E2830"/>
    <w:rsid w:val="009E403B"/>
    <w:rsid w:val="009E741A"/>
    <w:rsid w:val="009F1539"/>
    <w:rsid w:val="009F5576"/>
    <w:rsid w:val="009F7002"/>
    <w:rsid w:val="009F7C23"/>
    <w:rsid w:val="00A00BD4"/>
    <w:rsid w:val="00A01B23"/>
    <w:rsid w:val="00A0265E"/>
    <w:rsid w:val="00A02FBD"/>
    <w:rsid w:val="00A03B0A"/>
    <w:rsid w:val="00A03DC6"/>
    <w:rsid w:val="00A06542"/>
    <w:rsid w:val="00A1121A"/>
    <w:rsid w:val="00A16382"/>
    <w:rsid w:val="00A20705"/>
    <w:rsid w:val="00A24906"/>
    <w:rsid w:val="00A24A56"/>
    <w:rsid w:val="00A30EB8"/>
    <w:rsid w:val="00A33AEF"/>
    <w:rsid w:val="00A40FE5"/>
    <w:rsid w:val="00A418C6"/>
    <w:rsid w:val="00A42705"/>
    <w:rsid w:val="00A45E7B"/>
    <w:rsid w:val="00A47F43"/>
    <w:rsid w:val="00A54D1D"/>
    <w:rsid w:val="00A54D89"/>
    <w:rsid w:val="00A61754"/>
    <w:rsid w:val="00A62141"/>
    <w:rsid w:val="00A6235B"/>
    <w:rsid w:val="00A63560"/>
    <w:rsid w:val="00A63B7D"/>
    <w:rsid w:val="00A70F40"/>
    <w:rsid w:val="00A71C3E"/>
    <w:rsid w:val="00A7261B"/>
    <w:rsid w:val="00A73053"/>
    <w:rsid w:val="00A73DBC"/>
    <w:rsid w:val="00A75011"/>
    <w:rsid w:val="00A75CC6"/>
    <w:rsid w:val="00A75D34"/>
    <w:rsid w:val="00A75E29"/>
    <w:rsid w:val="00A763D2"/>
    <w:rsid w:val="00A80BEA"/>
    <w:rsid w:val="00A826EE"/>
    <w:rsid w:val="00A83E13"/>
    <w:rsid w:val="00A86F72"/>
    <w:rsid w:val="00A937C0"/>
    <w:rsid w:val="00A95B2A"/>
    <w:rsid w:val="00AA2F4A"/>
    <w:rsid w:val="00AA332C"/>
    <w:rsid w:val="00AA39AD"/>
    <w:rsid w:val="00AA45AD"/>
    <w:rsid w:val="00AA6785"/>
    <w:rsid w:val="00AB0665"/>
    <w:rsid w:val="00AB6F6B"/>
    <w:rsid w:val="00AB7CD5"/>
    <w:rsid w:val="00AC282C"/>
    <w:rsid w:val="00AC4655"/>
    <w:rsid w:val="00AC6D7C"/>
    <w:rsid w:val="00AD1E0D"/>
    <w:rsid w:val="00AD68AB"/>
    <w:rsid w:val="00AD6A29"/>
    <w:rsid w:val="00AD7AED"/>
    <w:rsid w:val="00AE1B44"/>
    <w:rsid w:val="00AE3208"/>
    <w:rsid w:val="00AE677F"/>
    <w:rsid w:val="00AE715E"/>
    <w:rsid w:val="00AE7347"/>
    <w:rsid w:val="00AF120B"/>
    <w:rsid w:val="00AF31CA"/>
    <w:rsid w:val="00AF3A78"/>
    <w:rsid w:val="00AF3D17"/>
    <w:rsid w:val="00AF56F9"/>
    <w:rsid w:val="00AF778D"/>
    <w:rsid w:val="00B02E71"/>
    <w:rsid w:val="00B04AC7"/>
    <w:rsid w:val="00B1206C"/>
    <w:rsid w:val="00B15B64"/>
    <w:rsid w:val="00B1628B"/>
    <w:rsid w:val="00B16811"/>
    <w:rsid w:val="00B16D5A"/>
    <w:rsid w:val="00B17FBA"/>
    <w:rsid w:val="00B2120B"/>
    <w:rsid w:val="00B213DF"/>
    <w:rsid w:val="00B21DFF"/>
    <w:rsid w:val="00B2381F"/>
    <w:rsid w:val="00B2389D"/>
    <w:rsid w:val="00B23AE6"/>
    <w:rsid w:val="00B26EBC"/>
    <w:rsid w:val="00B355DB"/>
    <w:rsid w:val="00B3622C"/>
    <w:rsid w:val="00B3768C"/>
    <w:rsid w:val="00B37F07"/>
    <w:rsid w:val="00B446B5"/>
    <w:rsid w:val="00B44D84"/>
    <w:rsid w:val="00B465BD"/>
    <w:rsid w:val="00B50699"/>
    <w:rsid w:val="00B51B4E"/>
    <w:rsid w:val="00B51F57"/>
    <w:rsid w:val="00B54450"/>
    <w:rsid w:val="00B56C19"/>
    <w:rsid w:val="00B57D3C"/>
    <w:rsid w:val="00B57DFA"/>
    <w:rsid w:val="00B62ED4"/>
    <w:rsid w:val="00B63383"/>
    <w:rsid w:val="00B63727"/>
    <w:rsid w:val="00B662C8"/>
    <w:rsid w:val="00B66422"/>
    <w:rsid w:val="00B66B8D"/>
    <w:rsid w:val="00B67987"/>
    <w:rsid w:val="00B71138"/>
    <w:rsid w:val="00B73B50"/>
    <w:rsid w:val="00B745B3"/>
    <w:rsid w:val="00B76933"/>
    <w:rsid w:val="00B777DE"/>
    <w:rsid w:val="00B8414D"/>
    <w:rsid w:val="00B845EA"/>
    <w:rsid w:val="00B85AB2"/>
    <w:rsid w:val="00B86AF6"/>
    <w:rsid w:val="00B86B7B"/>
    <w:rsid w:val="00B9122C"/>
    <w:rsid w:val="00B93252"/>
    <w:rsid w:val="00B97D59"/>
    <w:rsid w:val="00BA27B9"/>
    <w:rsid w:val="00BA412D"/>
    <w:rsid w:val="00BA4A1C"/>
    <w:rsid w:val="00BA5A51"/>
    <w:rsid w:val="00BB46D2"/>
    <w:rsid w:val="00BB602A"/>
    <w:rsid w:val="00BB76E8"/>
    <w:rsid w:val="00BC01FA"/>
    <w:rsid w:val="00BC0C1F"/>
    <w:rsid w:val="00BC0C8C"/>
    <w:rsid w:val="00BC2A3A"/>
    <w:rsid w:val="00BC39D4"/>
    <w:rsid w:val="00BC3E41"/>
    <w:rsid w:val="00BC6BC0"/>
    <w:rsid w:val="00BD1255"/>
    <w:rsid w:val="00BD404B"/>
    <w:rsid w:val="00BD530C"/>
    <w:rsid w:val="00BD7363"/>
    <w:rsid w:val="00BE540B"/>
    <w:rsid w:val="00BE7A90"/>
    <w:rsid w:val="00BF04C8"/>
    <w:rsid w:val="00BF0834"/>
    <w:rsid w:val="00BF1A39"/>
    <w:rsid w:val="00BF24A7"/>
    <w:rsid w:val="00BF3F57"/>
    <w:rsid w:val="00BF4EFE"/>
    <w:rsid w:val="00BF52BD"/>
    <w:rsid w:val="00BF5FA8"/>
    <w:rsid w:val="00BF715A"/>
    <w:rsid w:val="00C00594"/>
    <w:rsid w:val="00C0061E"/>
    <w:rsid w:val="00C02585"/>
    <w:rsid w:val="00C036C3"/>
    <w:rsid w:val="00C04345"/>
    <w:rsid w:val="00C04606"/>
    <w:rsid w:val="00C04D14"/>
    <w:rsid w:val="00C0582D"/>
    <w:rsid w:val="00C05966"/>
    <w:rsid w:val="00C06BBD"/>
    <w:rsid w:val="00C0763C"/>
    <w:rsid w:val="00C1328C"/>
    <w:rsid w:val="00C137D7"/>
    <w:rsid w:val="00C13B83"/>
    <w:rsid w:val="00C15A8A"/>
    <w:rsid w:val="00C17074"/>
    <w:rsid w:val="00C22559"/>
    <w:rsid w:val="00C329C4"/>
    <w:rsid w:val="00C3447A"/>
    <w:rsid w:val="00C34A47"/>
    <w:rsid w:val="00C3558D"/>
    <w:rsid w:val="00C360BC"/>
    <w:rsid w:val="00C44C58"/>
    <w:rsid w:val="00C455B3"/>
    <w:rsid w:val="00C45C8D"/>
    <w:rsid w:val="00C46182"/>
    <w:rsid w:val="00C47654"/>
    <w:rsid w:val="00C50924"/>
    <w:rsid w:val="00C51E13"/>
    <w:rsid w:val="00C52F62"/>
    <w:rsid w:val="00C55BEF"/>
    <w:rsid w:val="00C56EBA"/>
    <w:rsid w:val="00C60292"/>
    <w:rsid w:val="00C6087C"/>
    <w:rsid w:val="00C618F7"/>
    <w:rsid w:val="00C620DC"/>
    <w:rsid w:val="00C62F09"/>
    <w:rsid w:val="00C637E2"/>
    <w:rsid w:val="00C64F1D"/>
    <w:rsid w:val="00C65E22"/>
    <w:rsid w:val="00C66DBA"/>
    <w:rsid w:val="00C706DF"/>
    <w:rsid w:val="00C71058"/>
    <w:rsid w:val="00C73994"/>
    <w:rsid w:val="00C742A4"/>
    <w:rsid w:val="00C765F9"/>
    <w:rsid w:val="00C76BB7"/>
    <w:rsid w:val="00C76BFD"/>
    <w:rsid w:val="00C76F22"/>
    <w:rsid w:val="00C77242"/>
    <w:rsid w:val="00C77D62"/>
    <w:rsid w:val="00C816F1"/>
    <w:rsid w:val="00C8170C"/>
    <w:rsid w:val="00C81FBB"/>
    <w:rsid w:val="00C907A5"/>
    <w:rsid w:val="00C92C90"/>
    <w:rsid w:val="00C93D06"/>
    <w:rsid w:val="00C940E0"/>
    <w:rsid w:val="00CA0219"/>
    <w:rsid w:val="00CA028F"/>
    <w:rsid w:val="00CA1CC5"/>
    <w:rsid w:val="00CA35B6"/>
    <w:rsid w:val="00CA4609"/>
    <w:rsid w:val="00CA4B8D"/>
    <w:rsid w:val="00CA52EA"/>
    <w:rsid w:val="00CA6688"/>
    <w:rsid w:val="00CA6E10"/>
    <w:rsid w:val="00CB0585"/>
    <w:rsid w:val="00CB1401"/>
    <w:rsid w:val="00CB375C"/>
    <w:rsid w:val="00CB6543"/>
    <w:rsid w:val="00CB67C6"/>
    <w:rsid w:val="00CB6851"/>
    <w:rsid w:val="00CB7170"/>
    <w:rsid w:val="00CC0019"/>
    <w:rsid w:val="00CC023F"/>
    <w:rsid w:val="00CC0A80"/>
    <w:rsid w:val="00CC1249"/>
    <w:rsid w:val="00CC60F5"/>
    <w:rsid w:val="00CD115B"/>
    <w:rsid w:val="00CD3201"/>
    <w:rsid w:val="00CD3D93"/>
    <w:rsid w:val="00CD492D"/>
    <w:rsid w:val="00CD4D1D"/>
    <w:rsid w:val="00CD5E9B"/>
    <w:rsid w:val="00CE53A7"/>
    <w:rsid w:val="00CF027C"/>
    <w:rsid w:val="00CF08DC"/>
    <w:rsid w:val="00CF28BF"/>
    <w:rsid w:val="00CF2981"/>
    <w:rsid w:val="00CF4C43"/>
    <w:rsid w:val="00CF50BD"/>
    <w:rsid w:val="00CF6A08"/>
    <w:rsid w:val="00CF7459"/>
    <w:rsid w:val="00CF7AF5"/>
    <w:rsid w:val="00D00147"/>
    <w:rsid w:val="00D03E7F"/>
    <w:rsid w:val="00D101BA"/>
    <w:rsid w:val="00D1678A"/>
    <w:rsid w:val="00D17293"/>
    <w:rsid w:val="00D2059A"/>
    <w:rsid w:val="00D21A96"/>
    <w:rsid w:val="00D22166"/>
    <w:rsid w:val="00D24BB3"/>
    <w:rsid w:val="00D2787F"/>
    <w:rsid w:val="00D30925"/>
    <w:rsid w:val="00D33F43"/>
    <w:rsid w:val="00D34081"/>
    <w:rsid w:val="00D3510D"/>
    <w:rsid w:val="00D35D79"/>
    <w:rsid w:val="00D3647A"/>
    <w:rsid w:val="00D36812"/>
    <w:rsid w:val="00D36E6C"/>
    <w:rsid w:val="00D37793"/>
    <w:rsid w:val="00D40EC5"/>
    <w:rsid w:val="00D4283B"/>
    <w:rsid w:val="00D42C22"/>
    <w:rsid w:val="00D4470F"/>
    <w:rsid w:val="00D44F9B"/>
    <w:rsid w:val="00D4522E"/>
    <w:rsid w:val="00D4582A"/>
    <w:rsid w:val="00D47119"/>
    <w:rsid w:val="00D4785E"/>
    <w:rsid w:val="00D47F66"/>
    <w:rsid w:val="00D52C29"/>
    <w:rsid w:val="00D57800"/>
    <w:rsid w:val="00D60374"/>
    <w:rsid w:val="00D60A41"/>
    <w:rsid w:val="00D62DC0"/>
    <w:rsid w:val="00D736A7"/>
    <w:rsid w:val="00D7513F"/>
    <w:rsid w:val="00D77340"/>
    <w:rsid w:val="00D804D5"/>
    <w:rsid w:val="00D80796"/>
    <w:rsid w:val="00D81AF4"/>
    <w:rsid w:val="00D9000C"/>
    <w:rsid w:val="00D905DC"/>
    <w:rsid w:val="00D913E4"/>
    <w:rsid w:val="00D939FA"/>
    <w:rsid w:val="00D94800"/>
    <w:rsid w:val="00D94976"/>
    <w:rsid w:val="00D95A75"/>
    <w:rsid w:val="00DA0426"/>
    <w:rsid w:val="00DA0C9F"/>
    <w:rsid w:val="00DA0EF9"/>
    <w:rsid w:val="00DA109C"/>
    <w:rsid w:val="00DA2B30"/>
    <w:rsid w:val="00DA32BD"/>
    <w:rsid w:val="00DA5927"/>
    <w:rsid w:val="00DA7A54"/>
    <w:rsid w:val="00DB03DF"/>
    <w:rsid w:val="00DB166B"/>
    <w:rsid w:val="00DB2C96"/>
    <w:rsid w:val="00DB511A"/>
    <w:rsid w:val="00DB589D"/>
    <w:rsid w:val="00DB643C"/>
    <w:rsid w:val="00DB6E11"/>
    <w:rsid w:val="00DC0113"/>
    <w:rsid w:val="00DC1A5D"/>
    <w:rsid w:val="00DC7767"/>
    <w:rsid w:val="00DD0493"/>
    <w:rsid w:val="00DD25DB"/>
    <w:rsid w:val="00DD3C20"/>
    <w:rsid w:val="00DD3F50"/>
    <w:rsid w:val="00DD68EA"/>
    <w:rsid w:val="00DE1EBC"/>
    <w:rsid w:val="00DE3718"/>
    <w:rsid w:val="00DE739D"/>
    <w:rsid w:val="00DE7859"/>
    <w:rsid w:val="00DE79E6"/>
    <w:rsid w:val="00DF25ED"/>
    <w:rsid w:val="00DF2739"/>
    <w:rsid w:val="00DF3407"/>
    <w:rsid w:val="00DF383E"/>
    <w:rsid w:val="00DF4702"/>
    <w:rsid w:val="00DF647A"/>
    <w:rsid w:val="00DF6540"/>
    <w:rsid w:val="00DF7022"/>
    <w:rsid w:val="00E009D0"/>
    <w:rsid w:val="00E00A33"/>
    <w:rsid w:val="00E01875"/>
    <w:rsid w:val="00E01BAE"/>
    <w:rsid w:val="00E03DB7"/>
    <w:rsid w:val="00E043DE"/>
    <w:rsid w:val="00E0487E"/>
    <w:rsid w:val="00E05AA1"/>
    <w:rsid w:val="00E146AD"/>
    <w:rsid w:val="00E15545"/>
    <w:rsid w:val="00E162D7"/>
    <w:rsid w:val="00E2635C"/>
    <w:rsid w:val="00E30343"/>
    <w:rsid w:val="00E308D5"/>
    <w:rsid w:val="00E32632"/>
    <w:rsid w:val="00E32D8F"/>
    <w:rsid w:val="00E34478"/>
    <w:rsid w:val="00E355AD"/>
    <w:rsid w:val="00E35E18"/>
    <w:rsid w:val="00E37541"/>
    <w:rsid w:val="00E379E6"/>
    <w:rsid w:val="00E40C99"/>
    <w:rsid w:val="00E418AD"/>
    <w:rsid w:val="00E42E25"/>
    <w:rsid w:val="00E454ED"/>
    <w:rsid w:val="00E4563E"/>
    <w:rsid w:val="00E46600"/>
    <w:rsid w:val="00E514FE"/>
    <w:rsid w:val="00E53F7F"/>
    <w:rsid w:val="00E5415C"/>
    <w:rsid w:val="00E55051"/>
    <w:rsid w:val="00E562FF"/>
    <w:rsid w:val="00E56324"/>
    <w:rsid w:val="00E62B48"/>
    <w:rsid w:val="00E654D8"/>
    <w:rsid w:val="00E65DAD"/>
    <w:rsid w:val="00E668C8"/>
    <w:rsid w:val="00E66EF9"/>
    <w:rsid w:val="00E6732F"/>
    <w:rsid w:val="00E72694"/>
    <w:rsid w:val="00E72D9D"/>
    <w:rsid w:val="00E765D2"/>
    <w:rsid w:val="00E768A8"/>
    <w:rsid w:val="00E7693D"/>
    <w:rsid w:val="00E76E9F"/>
    <w:rsid w:val="00E80C32"/>
    <w:rsid w:val="00E823FC"/>
    <w:rsid w:val="00E82603"/>
    <w:rsid w:val="00E87E7E"/>
    <w:rsid w:val="00E909F0"/>
    <w:rsid w:val="00E911C7"/>
    <w:rsid w:val="00E91349"/>
    <w:rsid w:val="00E91B64"/>
    <w:rsid w:val="00E92843"/>
    <w:rsid w:val="00E93349"/>
    <w:rsid w:val="00E9396E"/>
    <w:rsid w:val="00E97BBE"/>
    <w:rsid w:val="00EA32F1"/>
    <w:rsid w:val="00EA3DDA"/>
    <w:rsid w:val="00EA6645"/>
    <w:rsid w:val="00EA6CD3"/>
    <w:rsid w:val="00EB03ED"/>
    <w:rsid w:val="00EB1035"/>
    <w:rsid w:val="00EB2059"/>
    <w:rsid w:val="00EB7617"/>
    <w:rsid w:val="00EC00A7"/>
    <w:rsid w:val="00EC096E"/>
    <w:rsid w:val="00EC13BA"/>
    <w:rsid w:val="00EC27A4"/>
    <w:rsid w:val="00EC2F42"/>
    <w:rsid w:val="00EC3353"/>
    <w:rsid w:val="00EC4AE1"/>
    <w:rsid w:val="00EC4F96"/>
    <w:rsid w:val="00EC5452"/>
    <w:rsid w:val="00EC71CB"/>
    <w:rsid w:val="00EC7BA6"/>
    <w:rsid w:val="00ED0154"/>
    <w:rsid w:val="00ED0D33"/>
    <w:rsid w:val="00ED1A35"/>
    <w:rsid w:val="00ED2131"/>
    <w:rsid w:val="00ED3A3F"/>
    <w:rsid w:val="00ED49E7"/>
    <w:rsid w:val="00ED5234"/>
    <w:rsid w:val="00ED595C"/>
    <w:rsid w:val="00ED5CB7"/>
    <w:rsid w:val="00ED7EF7"/>
    <w:rsid w:val="00EE015C"/>
    <w:rsid w:val="00EE396E"/>
    <w:rsid w:val="00EF5622"/>
    <w:rsid w:val="00EF5672"/>
    <w:rsid w:val="00EF5F3C"/>
    <w:rsid w:val="00EF6539"/>
    <w:rsid w:val="00F03247"/>
    <w:rsid w:val="00F03ACB"/>
    <w:rsid w:val="00F03C54"/>
    <w:rsid w:val="00F044A4"/>
    <w:rsid w:val="00F05B54"/>
    <w:rsid w:val="00F06251"/>
    <w:rsid w:val="00F07A1F"/>
    <w:rsid w:val="00F10435"/>
    <w:rsid w:val="00F1385D"/>
    <w:rsid w:val="00F13B87"/>
    <w:rsid w:val="00F13E7D"/>
    <w:rsid w:val="00F15517"/>
    <w:rsid w:val="00F173BF"/>
    <w:rsid w:val="00F17A2E"/>
    <w:rsid w:val="00F20C30"/>
    <w:rsid w:val="00F21F60"/>
    <w:rsid w:val="00F24DBD"/>
    <w:rsid w:val="00F26850"/>
    <w:rsid w:val="00F30A58"/>
    <w:rsid w:val="00F313A3"/>
    <w:rsid w:val="00F33259"/>
    <w:rsid w:val="00F3443F"/>
    <w:rsid w:val="00F344B5"/>
    <w:rsid w:val="00F34CE7"/>
    <w:rsid w:val="00F36FBA"/>
    <w:rsid w:val="00F416E9"/>
    <w:rsid w:val="00F422EB"/>
    <w:rsid w:val="00F42B42"/>
    <w:rsid w:val="00F460CE"/>
    <w:rsid w:val="00F47B59"/>
    <w:rsid w:val="00F51310"/>
    <w:rsid w:val="00F5383A"/>
    <w:rsid w:val="00F5447C"/>
    <w:rsid w:val="00F5799D"/>
    <w:rsid w:val="00F6078E"/>
    <w:rsid w:val="00F61080"/>
    <w:rsid w:val="00F61E6B"/>
    <w:rsid w:val="00F62E11"/>
    <w:rsid w:val="00F63014"/>
    <w:rsid w:val="00F64CD6"/>
    <w:rsid w:val="00F674BE"/>
    <w:rsid w:val="00F72697"/>
    <w:rsid w:val="00F74B1C"/>
    <w:rsid w:val="00F760AA"/>
    <w:rsid w:val="00F76883"/>
    <w:rsid w:val="00F76F69"/>
    <w:rsid w:val="00F80698"/>
    <w:rsid w:val="00F80BF5"/>
    <w:rsid w:val="00F816F7"/>
    <w:rsid w:val="00F83D59"/>
    <w:rsid w:val="00F85BB3"/>
    <w:rsid w:val="00F85ED9"/>
    <w:rsid w:val="00F86AF0"/>
    <w:rsid w:val="00F90F9B"/>
    <w:rsid w:val="00F91211"/>
    <w:rsid w:val="00F92816"/>
    <w:rsid w:val="00F92829"/>
    <w:rsid w:val="00FA2B0B"/>
    <w:rsid w:val="00FA4004"/>
    <w:rsid w:val="00FB1ACE"/>
    <w:rsid w:val="00FB1B95"/>
    <w:rsid w:val="00FB2C24"/>
    <w:rsid w:val="00FB2DCA"/>
    <w:rsid w:val="00FB3372"/>
    <w:rsid w:val="00FB5E14"/>
    <w:rsid w:val="00FC1944"/>
    <w:rsid w:val="00FC516C"/>
    <w:rsid w:val="00FC7AD0"/>
    <w:rsid w:val="00FD07AE"/>
    <w:rsid w:val="00FD15DC"/>
    <w:rsid w:val="00FD1DF3"/>
    <w:rsid w:val="00FD7FBC"/>
    <w:rsid w:val="00FE07FB"/>
    <w:rsid w:val="00FE0DA6"/>
    <w:rsid w:val="00FE416A"/>
    <w:rsid w:val="00FF2B09"/>
    <w:rsid w:val="00FF3DBF"/>
    <w:rsid w:val="00FF5BD4"/>
    <w:rsid w:val="01AA7D1B"/>
    <w:rsid w:val="02054F52"/>
    <w:rsid w:val="021E60E1"/>
    <w:rsid w:val="0371289F"/>
    <w:rsid w:val="03754DB2"/>
    <w:rsid w:val="03D746CC"/>
    <w:rsid w:val="069D0A4E"/>
    <w:rsid w:val="08793FA4"/>
    <w:rsid w:val="095F5000"/>
    <w:rsid w:val="0A6071C9"/>
    <w:rsid w:val="0A7669ED"/>
    <w:rsid w:val="0B256A93"/>
    <w:rsid w:val="0B301291"/>
    <w:rsid w:val="0C9870EE"/>
    <w:rsid w:val="0CC2761A"/>
    <w:rsid w:val="0D6E7B31"/>
    <w:rsid w:val="0D913B3D"/>
    <w:rsid w:val="0E603C3C"/>
    <w:rsid w:val="0E9562C0"/>
    <w:rsid w:val="0F0E229C"/>
    <w:rsid w:val="117D30CA"/>
    <w:rsid w:val="11863E5B"/>
    <w:rsid w:val="119057AB"/>
    <w:rsid w:val="119C2178"/>
    <w:rsid w:val="12C9796E"/>
    <w:rsid w:val="12DB2998"/>
    <w:rsid w:val="13315BA7"/>
    <w:rsid w:val="1336140F"/>
    <w:rsid w:val="13A50343"/>
    <w:rsid w:val="146E56A3"/>
    <w:rsid w:val="1559700E"/>
    <w:rsid w:val="15675CC7"/>
    <w:rsid w:val="15CB19ED"/>
    <w:rsid w:val="169F376F"/>
    <w:rsid w:val="186D435E"/>
    <w:rsid w:val="1A6A0C11"/>
    <w:rsid w:val="1A9D7FC6"/>
    <w:rsid w:val="1B8D410D"/>
    <w:rsid w:val="1D047E45"/>
    <w:rsid w:val="1D3764AF"/>
    <w:rsid w:val="1E580CB7"/>
    <w:rsid w:val="1EEE6ED3"/>
    <w:rsid w:val="20FD356C"/>
    <w:rsid w:val="21B52AD4"/>
    <w:rsid w:val="2435301D"/>
    <w:rsid w:val="25F413E1"/>
    <w:rsid w:val="268A3AF4"/>
    <w:rsid w:val="27E234BC"/>
    <w:rsid w:val="28610884"/>
    <w:rsid w:val="292A336C"/>
    <w:rsid w:val="2940049A"/>
    <w:rsid w:val="2B053749"/>
    <w:rsid w:val="2B68125F"/>
    <w:rsid w:val="2D675D83"/>
    <w:rsid w:val="2EF17594"/>
    <w:rsid w:val="33A87367"/>
    <w:rsid w:val="3439451E"/>
    <w:rsid w:val="356B3EAB"/>
    <w:rsid w:val="35D95EFE"/>
    <w:rsid w:val="36056CF3"/>
    <w:rsid w:val="3628478F"/>
    <w:rsid w:val="36337576"/>
    <w:rsid w:val="39FC13F6"/>
    <w:rsid w:val="3B01368C"/>
    <w:rsid w:val="3C045A5D"/>
    <w:rsid w:val="3C9B0DEC"/>
    <w:rsid w:val="3DD2229E"/>
    <w:rsid w:val="3F060B3B"/>
    <w:rsid w:val="410F0A26"/>
    <w:rsid w:val="41C73616"/>
    <w:rsid w:val="42864D18"/>
    <w:rsid w:val="42AD499A"/>
    <w:rsid w:val="43227E9A"/>
    <w:rsid w:val="43745055"/>
    <w:rsid w:val="43D81195"/>
    <w:rsid w:val="44CE29A6"/>
    <w:rsid w:val="45156803"/>
    <w:rsid w:val="45E25DC8"/>
    <w:rsid w:val="4707219F"/>
    <w:rsid w:val="47392CA0"/>
    <w:rsid w:val="478C0A25"/>
    <w:rsid w:val="494E2307"/>
    <w:rsid w:val="4A534079"/>
    <w:rsid w:val="4A687598"/>
    <w:rsid w:val="4B1D6B3E"/>
    <w:rsid w:val="4B41512C"/>
    <w:rsid w:val="4B4E2A92"/>
    <w:rsid w:val="4DAE1980"/>
    <w:rsid w:val="521F0CE5"/>
    <w:rsid w:val="532C190B"/>
    <w:rsid w:val="53C47D96"/>
    <w:rsid w:val="56B86087"/>
    <w:rsid w:val="5827444F"/>
    <w:rsid w:val="587D085E"/>
    <w:rsid w:val="596671F9"/>
    <w:rsid w:val="597A4A53"/>
    <w:rsid w:val="59A1370B"/>
    <w:rsid w:val="5A47702B"/>
    <w:rsid w:val="5B631DE1"/>
    <w:rsid w:val="5B977B3E"/>
    <w:rsid w:val="5BE2525D"/>
    <w:rsid w:val="5D355860"/>
    <w:rsid w:val="5ECD7321"/>
    <w:rsid w:val="5F5521EA"/>
    <w:rsid w:val="60A65DDB"/>
    <w:rsid w:val="612C0D28"/>
    <w:rsid w:val="616C4F09"/>
    <w:rsid w:val="623E5FD0"/>
    <w:rsid w:val="638E1826"/>
    <w:rsid w:val="64073A9D"/>
    <w:rsid w:val="6416005F"/>
    <w:rsid w:val="64FE29DC"/>
    <w:rsid w:val="660A2E72"/>
    <w:rsid w:val="68330D9E"/>
    <w:rsid w:val="684D5782"/>
    <w:rsid w:val="68955875"/>
    <w:rsid w:val="68D45F2D"/>
    <w:rsid w:val="6922313D"/>
    <w:rsid w:val="6A6C1F22"/>
    <w:rsid w:val="6AA9700B"/>
    <w:rsid w:val="6AC82ABC"/>
    <w:rsid w:val="6BC621DB"/>
    <w:rsid w:val="6C1D7AE9"/>
    <w:rsid w:val="6C8E1C39"/>
    <w:rsid w:val="6DE81C08"/>
    <w:rsid w:val="6F6A3147"/>
    <w:rsid w:val="708304A5"/>
    <w:rsid w:val="70ED2282"/>
    <w:rsid w:val="724E51B7"/>
    <w:rsid w:val="7313636A"/>
    <w:rsid w:val="77960102"/>
    <w:rsid w:val="78070C97"/>
    <w:rsid w:val="79D35D8D"/>
    <w:rsid w:val="79F01948"/>
    <w:rsid w:val="7A526DB4"/>
    <w:rsid w:val="7A8E7AC0"/>
    <w:rsid w:val="7B00530A"/>
    <w:rsid w:val="7BB50E30"/>
    <w:rsid w:val="7C515799"/>
    <w:rsid w:val="7C613B24"/>
    <w:rsid w:val="7D84306B"/>
    <w:rsid w:val="7DEA6E0F"/>
    <w:rsid w:val="7E71642D"/>
    <w:rsid w:val="7F8952AA"/>
    <w:rsid w:val="87ADFA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56" w:lineRule="exact"/>
      <w:ind w:firstLine="200" w:firstLineChars="200"/>
      <w:jc w:val="both"/>
    </w:pPr>
    <w:rPr>
      <w:rFonts w:ascii="宋体" w:hAnsi="宋体" w:eastAsia="仿宋_GB2312" w:cstheme="minorBidi"/>
      <w:kern w:val="2"/>
      <w:sz w:val="32"/>
      <w:szCs w:val="22"/>
      <w:lang w:val="en-US" w:eastAsia="zh-CN" w:bidi="ar-SA"/>
    </w:rPr>
  </w:style>
  <w:style w:type="paragraph" w:styleId="2">
    <w:name w:val="heading 1"/>
    <w:basedOn w:val="1"/>
    <w:next w:val="1"/>
    <w:link w:val="27"/>
    <w:qFormat/>
    <w:uiPriority w:val="9"/>
    <w:pPr>
      <w:spacing w:after="100" w:afterLines="100"/>
      <w:ind w:firstLine="0" w:firstLineChars="0"/>
      <w:jc w:val="center"/>
      <w:outlineLvl w:val="0"/>
    </w:pPr>
    <w:rPr>
      <w:rFonts w:ascii="方正小标宋简体" w:eastAsia="方正小标宋简体" w:hAnsiTheme="majorHAnsi" w:cstheme="majorBidi"/>
      <w:sz w:val="36"/>
      <w:szCs w:val="48"/>
    </w:rPr>
  </w:style>
  <w:style w:type="paragraph" w:styleId="3">
    <w:name w:val="heading 2"/>
    <w:basedOn w:val="1"/>
    <w:next w:val="1"/>
    <w:link w:val="28"/>
    <w:unhideWhenUsed/>
    <w:qFormat/>
    <w:uiPriority w:val="9"/>
    <w:pPr>
      <w:keepNext/>
      <w:keepLines/>
      <w:spacing w:before="100" w:beforeLines="100" w:after="100" w:afterLines="100"/>
      <w:ind w:firstLine="0" w:firstLineChars="0"/>
      <w:jc w:val="center"/>
      <w:outlineLvl w:val="1"/>
    </w:pPr>
    <w:rPr>
      <w:rFonts w:ascii="仿宋_GB2312" w:eastAsia="方正小标宋简体" w:hAnsiTheme="majorHAnsi" w:cstheme="majorBidi"/>
      <w:sz w:val="36"/>
      <w:szCs w:val="40"/>
    </w:rPr>
  </w:style>
  <w:style w:type="paragraph" w:styleId="4">
    <w:name w:val="heading 3"/>
    <w:next w:val="1"/>
    <w:link w:val="29"/>
    <w:unhideWhenUsed/>
    <w:qFormat/>
    <w:uiPriority w:val="9"/>
    <w:pPr>
      <w:keepNext/>
      <w:keepLines/>
      <w:spacing w:before="50" w:beforeLines="50" w:after="50" w:afterLines="50"/>
      <w:jc w:val="center"/>
      <w:outlineLvl w:val="2"/>
    </w:pPr>
    <w:rPr>
      <w:rFonts w:ascii="黑体" w:hAnsi="黑体" w:eastAsia="黑体" w:cstheme="majorBidi"/>
      <w:kern w:val="2"/>
      <w:sz w:val="32"/>
      <w:szCs w:val="32"/>
      <w:lang w:val="en-US" w:eastAsia="zh-CN" w:bidi="ar-SA"/>
    </w:rPr>
  </w:style>
  <w:style w:type="paragraph" w:styleId="5">
    <w:name w:val="heading 4"/>
    <w:basedOn w:val="1"/>
    <w:next w:val="1"/>
    <w:link w:val="30"/>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31"/>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32"/>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33"/>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4"/>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5"/>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54"/>
    <w:semiHidden/>
    <w:unhideWhenUsed/>
    <w:qFormat/>
    <w:uiPriority w:val="99"/>
    <w:pPr>
      <w:jc w:val="left"/>
    </w:pPr>
  </w:style>
  <w:style w:type="paragraph" w:styleId="12">
    <w:name w:val="Body Text"/>
    <w:basedOn w:val="1"/>
    <w:next w:val="1"/>
    <w:link w:val="55"/>
    <w:unhideWhenUsed/>
    <w:qFormat/>
    <w:uiPriority w:val="99"/>
    <w:pPr>
      <w:spacing w:after="120"/>
    </w:pPr>
  </w:style>
  <w:style w:type="paragraph" w:styleId="13">
    <w:name w:val="toc 3"/>
    <w:basedOn w:val="1"/>
    <w:next w:val="1"/>
    <w:unhideWhenUsed/>
    <w:qFormat/>
    <w:uiPriority w:val="39"/>
    <w:pPr>
      <w:tabs>
        <w:tab w:val="left" w:pos="2268"/>
        <w:tab w:val="right" w:leader="dot" w:pos="8835"/>
      </w:tabs>
      <w:ind w:left="1280" w:leftChars="400" w:firstLine="0" w:firstLineChars="0"/>
      <w:jc w:val="left"/>
    </w:pPr>
    <w:rPr>
      <w:rFonts w:eastAsia="楷体"/>
      <w:sz w:val="28"/>
    </w:rPr>
  </w:style>
  <w:style w:type="paragraph" w:styleId="14">
    <w:name w:val="Balloon Text"/>
    <w:basedOn w:val="1"/>
    <w:link w:val="48"/>
    <w:semiHidden/>
    <w:unhideWhenUsed/>
    <w:qFormat/>
    <w:uiPriority w:val="99"/>
    <w:rPr>
      <w:sz w:val="18"/>
      <w:szCs w:val="18"/>
    </w:rPr>
  </w:style>
  <w:style w:type="paragraph" w:styleId="15">
    <w:name w:val="footer"/>
    <w:basedOn w:val="1"/>
    <w:link w:val="46"/>
    <w:unhideWhenUsed/>
    <w:qFormat/>
    <w:uiPriority w:val="99"/>
    <w:pPr>
      <w:tabs>
        <w:tab w:val="center" w:pos="4153"/>
        <w:tab w:val="right" w:pos="8306"/>
      </w:tabs>
      <w:snapToGrid w:val="0"/>
      <w:jc w:val="left"/>
    </w:pPr>
    <w:rPr>
      <w:sz w:val="18"/>
      <w:szCs w:val="18"/>
    </w:rPr>
  </w:style>
  <w:style w:type="paragraph" w:styleId="16">
    <w:name w:val="header"/>
    <w:basedOn w:val="1"/>
    <w:link w:val="45"/>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pPr>
      <w:tabs>
        <w:tab w:val="right" w:leader="dot" w:pos="8835"/>
      </w:tabs>
      <w:ind w:firstLine="0" w:firstLineChars="0"/>
    </w:pPr>
    <w:rPr>
      <w:rFonts w:eastAsia="黑体"/>
      <w:sz w:val="28"/>
      <w:szCs w:val="28"/>
    </w:rPr>
  </w:style>
  <w:style w:type="paragraph" w:styleId="18">
    <w:name w:val="Subtitle"/>
    <w:basedOn w:val="1"/>
    <w:next w:val="1"/>
    <w:link w:val="37"/>
    <w:qFormat/>
    <w:uiPriority w:val="11"/>
    <w:pPr>
      <w:outlineLvl w:val="1"/>
    </w:pPr>
    <w:rPr>
      <w:rFonts w:eastAsia="黑体" w:asciiTheme="majorHAnsi" w:hAnsiTheme="majorHAnsi" w:cstheme="majorBidi"/>
      <w:kern w:val="0"/>
      <w:szCs w:val="28"/>
    </w:rPr>
  </w:style>
  <w:style w:type="paragraph" w:styleId="19">
    <w:name w:val="toc 2"/>
    <w:basedOn w:val="1"/>
    <w:next w:val="1"/>
    <w:unhideWhenUsed/>
    <w:qFormat/>
    <w:uiPriority w:val="39"/>
    <w:pPr>
      <w:tabs>
        <w:tab w:val="right" w:leader="dot" w:pos="8835"/>
      </w:tabs>
      <w:ind w:left="640" w:leftChars="200" w:firstLine="0" w:firstLineChars="0"/>
    </w:pPr>
    <w:rPr>
      <w:rFonts w:ascii="黑体" w:hAnsi="黑体" w:eastAsia="黑体"/>
      <w:sz w:val="28"/>
      <w:szCs w:val="28"/>
    </w:rPr>
  </w:style>
  <w:style w:type="paragraph" w:styleId="20">
    <w:name w:val="Normal (Web)"/>
    <w:basedOn w:val="1"/>
    <w:qFormat/>
    <w:uiPriority w:val="99"/>
    <w:pPr>
      <w:jc w:val="left"/>
    </w:pPr>
    <w:rPr>
      <w:rFonts w:ascii="Calibri" w:hAnsi="Calibri" w:eastAsia="宋体" w:cs="Calibri"/>
      <w:kern w:val="0"/>
      <w:sz w:val="24"/>
      <w:szCs w:val="24"/>
    </w:rPr>
  </w:style>
  <w:style w:type="paragraph" w:styleId="21">
    <w:name w:val="Title"/>
    <w:basedOn w:val="1"/>
    <w:next w:val="1"/>
    <w:link w:val="36"/>
    <w:qFormat/>
    <w:uiPriority w:val="10"/>
    <w:pPr>
      <w:contextualSpacing/>
      <w:outlineLvl w:val="2"/>
    </w:pPr>
    <w:rPr>
      <w:rFonts w:eastAsia="楷体" w:cstheme="majorBidi"/>
      <w:kern w:val="28"/>
      <w:szCs w:val="56"/>
    </w:rPr>
  </w:style>
  <w:style w:type="character" w:styleId="24">
    <w:name w:val="Strong"/>
    <w:basedOn w:val="23"/>
    <w:qFormat/>
    <w:uiPriority w:val="0"/>
    <w:rPr>
      <w:b/>
      <w:bCs/>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semiHidden/>
    <w:unhideWhenUsed/>
    <w:qFormat/>
    <w:uiPriority w:val="99"/>
    <w:rPr>
      <w:sz w:val="21"/>
      <w:szCs w:val="21"/>
    </w:rPr>
  </w:style>
  <w:style w:type="character" w:customStyle="1" w:styleId="27">
    <w:name w:val="标题 1 字符"/>
    <w:basedOn w:val="23"/>
    <w:link w:val="2"/>
    <w:qFormat/>
    <w:uiPriority w:val="9"/>
    <w:rPr>
      <w:rFonts w:ascii="方正小标宋简体" w:eastAsia="方正小标宋简体" w:hAnsiTheme="majorHAnsi" w:cstheme="majorBidi"/>
      <w:kern w:val="2"/>
      <w:sz w:val="36"/>
      <w:szCs w:val="48"/>
    </w:rPr>
  </w:style>
  <w:style w:type="character" w:customStyle="1" w:styleId="28">
    <w:name w:val="标题 2 字符"/>
    <w:basedOn w:val="23"/>
    <w:link w:val="3"/>
    <w:qFormat/>
    <w:uiPriority w:val="9"/>
    <w:rPr>
      <w:rFonts w:ascii="仿宋_GB2312" w:eastAsia="方正小标宋简体" w:hAnsiTheme="majorHAnsi" w:cstheme="majorBidi"/>
      <w:kern w:val="2"/>
      <w:sz w:val="36"/>
      <w:szCs w:val="40"/>
    </w:rPr>
  </w:style>
  <w:style w:type="character" w:customStyle="1" w:styleId="29">
    <w:name w:val="标题 3 字符"/>
    <w:basedOn w:val="23"/>
    <w:link w:val="4"/>
    <w:qFormat/>
    <w:uiPriority w:val="9"/>
    <w:rPr>
      <w:rFonts w:ascii="黑体" w:hAnsi="黑体" w:eastAsia="黑体" w:cstheme="majorBidi"/>
      <w:kern w:val="2"/>
      <w:sz w:val="32"/>
      <w:szCs w:val="32"/>
    </w:rPr>
  </w:style>
  <w:style w:type="character" w:customStyle="1" w:styleId="30">
    <w:name w:val="标题 4 字符"/>
    <w:basedOn w:val="23"/>
    <w:link w:val="5"/>
    <w:semiHidden/>
    <w:qFormat/>
    <w:uiPriority w:val="9"/>
    <w:rPr>
      <w:rFonts w:cstheme="majorBidi"/>
      <w:color w:val="2F5597" w:themeColor="accent1" w:themeShade="BF"/>
      <w:sz w:val="28"/>
      <w:szCs w:val="28"/>
    </w:rPr>
  </w:style>
  <w:style w:type="character" w:customStyle="1" w:styleId="31">
    <w:name w:val="标题 5 字符"/>
    <w:basedOn w:val="23"/>
    <w:link w:val="6"/>
    <w:semiHidden/>
    <w:qFormat/>
    <w:uiPriority w:val="9"/>
    <w:rPr>
      <w:rFonts w:cstheme="majorBidi"/>
      <w:color w:val="2F5597" w:themeColor="accent1" w:themeShade="BF"/>
      <w:sz w:val="24"/>
      <w:szCs w:val="24"/>
    </w:rPr>
  </w:style>
  <w:style w:type="character" w:customStyle="1" w:styleId="32">
    <w:name w:val="标题 6 字符"/>
    <w:basedOn w:val="23"/>
    <w:link w:val="7"/>
    <w:semiHidden/>
    <w:qFormat/>
    <w:uiPriority w:val="9"/>
    <w:rPr>
      <w:rFonts w:cstheme="majorBidi"/>
      <w:b/>
      <w:bCs/>
      <w:color w:val="2F5597" w:themeColor="accent1" w:themeShade="BF"/>
    </w:rPr>
  </w:style>
  <w:style w:type="character" w:customStyle="1" w:styleId="33">
    <w:name w:val="标题 7 字符"/>
    <w:basedOn w:val="23"/>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4">
    <w:name w:val="标题 8 字符"/>
    <w:basedOn w:val="23"/>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5">
    <w:name w:val="标题 9 字符"/>
    <w:basedOn w:val="23"/>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6">
    <w:name w:val="标题 字符"/>
    <w:basedOn w:val="23"/>
    <w:link w:val="21"/>
    <w:qFormat/>
    <w:uiPriority w:val="10"/>
    <w:rPr>
      <w:rFonts w:ascii="宋体" w:hAnsi="宋体" w:eastAsia="楷体" w:cstheme="majorBidi"/>
      <w:kern w:val="28"/>
      <w:sz w:val="32"/>
      <w:szCs w:val="56"/>
    </w:rPr>
  </w:style>
  <w:style w:type="character" w:customStyle="1" w:styleId="37">
    <w:name w:val="副标题 字符"/>
    <w:basedOn w:val="23"/>
    <w:link w:val="18"/>
    <w:qFormat/>
    <w:uiPriority w:val="11"/>
    <w:rPr>
      <w:rFonts w:eastAsia="黑体" w:asciiTheme="majorHAnsi" w:hAnsiTheme="majorHAnsi" w:cstheme="majorBidi"/>
      <w:sz w:val="32"/>
      <w:szCs w:val="28"/>
    </w:rPr>
  </w:style>
  <w:style w:type="paragraph" w:styleId="38">
    <w:name w:val="Quote"/>
    <w:basedOn w:val="1"/>
    <w:next w:val="1"/>
    <w:link w:val="39"/>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9">
    <w:name w:val="引用 字符"/>
    <w:basedOn w:val="23"/>
    <w:link w:val="38"/>
    <w:qFormat/>
    <w:uiPriority w:val="29"/>
    <w:rPr>
      <w:i/>
      <w:iCs/>
      <w:color w:val="404040" w:themeColor="text1" w:themeTint="BF"/>
      <w14:textFill>
        <w14:solidFill>
          <w14:schemeClr w14:val="tx1">
            <w14:lumMod w14:val="75000"/>
            <w14:lumOff w14:val="25000"/>
          </w14:schemeClr>
        </w14:solidFill>
      </w14:textFill>
    </w:rPr>
  </w:style>
  <w:style w:type="paragraph" w:styleId="40">
    <w:name w:val="List Paragraph"/>
    <w:basedOn w:val="1"/>
    <w:qFormat/>
    <w:uiPriority w:val="34"/>
    <w:pPr>
      <w:ind w:left="720"/>
      <w:contextualSpacing/>
    </w:pPr>
  </w:style>
  <w:style w:type="character" w:customStyle="1" w:styleId="41">
    <w:name w:val="明显强调1"/>
    <w:basedOn w:val="23"/>
    <w:qFormat/>
    <w:uiPriority w:val="21"/>
    <w:rPr>
      <w:i/>
      <w:iCs/>
      <w:color w:val="2F5597" w:themeColor="accent1" w:themeShade="BF"/>
    </w:rPr>
  </w:style>
  <w:style w:type="paragraph" w:styleId="42">
    <w:name w:val="Intense Quote"/>
    <w:basedOn w:val="1"/>
    <w:next w:val="1"/>
    <w:link w:val="43"/>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43">
    <w:name w:val="明显引用 字符"/>
    <w:basedOn w:val="23"/>
    <w:link w:val="42"/>
    <w:qFormat/>
    <w:uiPriority w:val="30"/>
    <w:rPr>
      <w:i/>
      <w:iCs/>
      <w:color w:val="2F5597" w:themeColor="accent1" w:themeShade="BF"/>
    </w:rPr>
  </w:style>
  <w:style w:type="character" w:customStyle="1" w:styleId="44">
    <w:name w:val="明显参考1"/>
    <w:basedOn w:val="23"/>
    <w:qFormat/>
    <w:uiPriority w:val="32"/>
    <w:rPr>
      <w:b/>
      <w:bCs/>
      <w:smallCaps/>
      <w:color w:val="2F5597" w:themeColor="accent1" w:themeShade="BF"/>
      <w:spacing w:val="5"/>
    </w:rPr>
  </w:style>
  <w:style w:type="character" w:customStyle="1" w:styleId="45">
    <w:name w:val="页眉 字符"/>
    <w:basedOn w:val="23"/>
    <w:link w:val="16"/>
    <w:qFormat/>
    <w:uiPriority w:val="99"/>
    <w:rPr>
      <w:sz w:val="18"/>
      <w:szCs w:val="18"/>
    </w:rPr>
  </w:style>
  <w:style w:type="character" w:customStyle="1" w:styleId="46">
    <w:name w:val="页脚 字符"/>
    <w:basedOn w:val="23"/>
    <w:link w:val="15"/>
    <w:qFormat/>
    <w:uiPriority w:val="99"/>
    <w:rPr>
      <w:sz w:val="18"/>
      <w:szCs w:val="18"/>
    </w:rPr>
  </w:style>
  <w:style w:type="paragraph" w:customStyle="1" w:styleId="47">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8">
    <w:name w:val="批注框文本 字符"/>
    <w:basedOn w:val="23"/>
    <w:link w:val="14"/>
    <w:semiHidden/>
    <w:qFormat/>
    <w:uiPriority w:val="99"/>
    <w:rPr>
      <w:sz w:val="18"/>
      <w:szCs w:val="18"/>
    </w:rPr>
  </w:style>
  <w:style w:type="paragraph" w:customStyle="1" w:styleId="49">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50">
    <w:name w:val="修订3"/>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51">
    <w:name w:val="TOC 标题1"/>
    <w:basedOn w:val="2"/>
    <w:next w:val="1"/>
    <w:unhideWhenUsed/>
    <w:qFormat/>
    <w:uiPriority w:val="39"/>
    <w:pPr>
      <w:keepNext/>
      <w:keepLines/>
      <w:widowControl/>
      <w:spacing w:before="240" w:after="0" w:afterLines="0" w:line="259" w:lineRule="auto"/>
      <w:jc w:val="left"/>
      <w:outlineLvl w:val="9"/>
    </w:pPr>
    <w:rPr>
      <w:rFonts w:asciiTheme="majorHAnsi" w:eastAsiaTheme="majorEastAsia"/>
      <w:color w:val="2F5597" w:themeColor="accent1" w:themeShade="BF"/>
      <w:kern w:val="0"/>
      <w:sz w:val="32"/>
      <w:szCs w:val="32"/>
    </w:rPr>
  </w:style>
  <w:style w:type="paragraph" w:customStyle="1" w:styleId="52">
    <w:name w:val="修订4"/>
    <w:hidden/>
    <w:semiHidden/>
    <w:qFormat/>
    <w:uiPriority w:val="99"/>
    <w:rPr>
      <w:rFonts w:ascii="宋体" w:hAnsi="宋体" w:eastAsia="仿宋_GB2312" w:cstheme="minorBidi"/>
      <w:kern w:val="2"/>
      <w:sz w:val="32"/>
      <w:szCs w:val="22"/>
      <w:lang w:val="en-US" w:eastAsia="zh-CN" w:bidi="ar-SA"/>
    </w:rPr>
  </w:style>
  <w:style w:type="paragraph" w:customStyle="1" w:styleId="53">
    <w:name w:val="Char Char Char Char"/>
    <w:basedOn w:val="1"/>
    <w:semiHidden/>
    <w:qFormat/>
    <w:uiPriority w:val="0"/>
    <w:pPr>
      <w:spacing w:line="240" w:lineRule="auto"/>
      <w:ind w:firstLine="0" w:firstLineChars="0"/>
    </w:pPr>
    <w:rPr>
      <w:rFonts w:ascii="Times New Roman" w:hAnsi="Times New Roman" w:eastAsia="宋体" w:cs="Times New Roman"/>
      <w:sz w:val="21"/>
      <w:szCs w:val="24"/>
    </w:rPr>
  </w:style>
  <w:style w:type="character" w:customStyle="1" w:styleId="54">
    <w:name w:val="批注文字 字符"/>
    <w:basedOn w:val="23"/>
    <w:link w:val="11"/>
    <w:semiHidden/>
    <w:qFormat/>
    <w:uiPriority w:val="99"/>
    <w:rPr>
      <w:rFonts w:ascii="宋体" w:hAnsi="宋体" w:eastAsia="仿宋_GB2312"/>
      <w:kern w:val="2"/>
      <w:sz w:val="32"/>
      <w:szCs w:val="22"/>
    </w:rPr>
  </w:style>
  <w:style w:type="character" w:customStyle="1" w:styleId="55">
    <w:name w:val="正文文本 字符"/>
    <w:basedOn w:val="23"/>
    <w:link w:val="12"/>
    <w:qFormat/>
    <w:uiPriority w:val="99"/>
    <w:rPr>
      <w:rFonts w:ascii="宋体" w:hAnsi="宋体" w:eastAsia="仿宋_GB2312"/>
      <w:kern w:val="2"/>
      <w:sz w:val="32"/>
      <w:szCs w:val="22"/>
    </w:rPr>
  </w:style>
  <w:style w:type="paragraph" w:customStyle="1" w:styleId="56">
    <w:name w:val="Normal Indent1"/>
    <w:basedOn w:val="1"/>
    <w:next w:val="13"/>
    <w:qFormat/>
    <w:uiPriority w:val="0"/>
  </w:style>
  <w:style w:type="paragraph" w:customStyle="1" w:styleId="57">
    <w:name w:val="普通文字"/>
    <w:qFormat/>
    <w:uiPriority w:val="0"/>
    <w:pPr>
      <w:widowControl w:val="0"/>
      <w:jc w:val="both"/>
    </w:pPr>
    <w:rPr>
      <w:rFonts w:ascii="宋体" w:hAnsi="宋体" w:eastAsia="宋体" w:cs="Times New Roman"/>
      <w:kern w:val="2"/>
      <w:sz w:val="21"/>
      <w:szCs w:val="24"/>
      <w:lang w:val="en-US" w:eastAsia="zh-CN" w:bidi="ar-SA"/>
    </w:rPr>
  </w:style>
  <w:style w:type="paragraph" w:customStyle="1" w:styleId="58">
    <w:name w:val="Revision"/>
    <w:hidden/>
    <w:semiHidden/>
    <w:qFormat/>
    <w:uiPriority w:val="99"/>
    <w:rPr>
      <w:rFonts w:ascii="宋体" w:hAnsi="宋体" w:eastAsia="仿宋_GB2312" w:cstheme="minorBidi"/>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127</Pages>
  <Words>7435</Words>
  <Characters>7572</Characters>
  <Lines>505</Lines>
  <Paragraphs>142</Paragraphs>
  <TotalTime>104</TotalTime>
  <ScaleCrop>false</ScaleCrop>
  <LinksUpToDate>false</LinksUpToDate>
  <CharactersWithSpaces>7895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2025-06-26T18:12:00Z</dcterms:created>
  <dc:creator>Alicia Zhang</dc:creator>
  <cp:lastModifiedBy>learn</cp:lastModifiedBy>
  <cp:lastPrinted>2026-02-14T06:26:07Z</cp:lastPrinted>
  <dcterms:modified xsi:type="dcterms:W3CDTF">2026-02-14T06:30:46Z</dcterms:modified>
  <cp:revision>412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eyJoZGlkIjoiNDVlZWU2NGUzMzE3M2I4ZDYzM2UxOWQ4OTNmNGIxYzgiLCJ1c2VySWQiOiIyNjEyNTAxNzgifQ==</vt:lpwstr>
  </property>
  <property fmtid="{D5CDD505-2E9C-101B-9397-08002B2CF9AE}" pid="3" name="KSOProductBuildVer">
    <vt:lpwstr>2052-12.1.0.25225</vt:lpwstr>
  </property>
  <property fmtid="{D5CDD505-2E9C-101B-9397-08002B2CF9AE}" pid="4" name="ICV">
    <vt:lpwstr>84C3056EE80740519F1AA768DF7750D6_13</vt:lpwstr>
  </property>
</Properties>
</file>